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C7" w:rsidRDefault="002C721B" w:rsidP="00606084">
      <w:pPr>
        <w:pStyle w:val="Kiemeltidzet"/>
        <w:spacing w:before="0" w:after="0"/>
        <w:rPr>
          <w:rStyle w:val="Erskiemels"/>
          <w:color w:val="213768"/>
          <w:sz w:val="28"/>
        </w:rPr>
      </w:pPr>
      <w:r w:rsidRPr="006E19AE">
        <w:rPr>
          <w:rStyle w:val="Erskiemels"/>
          <w:color w:val="213768"/>
          <w:sz w:val="28"/>
        </w:rPr>
        <w:t>ADATKEZELÉSI TÁJÉKOZTATÓ</w:t>
      </w:r>
      <w:r w:rsidR="005E45E7">
        <w:rPr>
          <w:rStyle w:val="Erskiemels"/>
          <w:color w:val="213768"/>
          <w:sz w:val="28"/>
        </w:rPr>
        <w:t xml:space="preserve"> </w:t>
      </w:r>
    </w:p>
    <w:p w:rsidR="002C721B" w:rsidRPr="006E19AE" w:rsidRDefault="005E45E7" w:rsidP="00606084">
      <w:pPr>
        <w:pStyle w:val="Kiemeltidzet"/>
        <w:spacing w:before="0" w:after="0"/>
        <w:rPr>
          <w:rStyle w:val="Erskiemels"/>
          <w:color w:val="213768"/>
          <w:sz w:val="28"/>
        </w:rPr>
      </w:pPr>
      <w:r w:rsidRPr="005E45E7">
        <w:rPr>
          <w:rStyle w:val="Erskiemels"/>
          <w:rFonts w:cstheme="minorHAnsi"/>
          <w:caps w:val="0"/>
          <w:color w:val="213768"/>
          <w:sz w:val="28"/>
        </w:rPr>
        <w:t>Befektetési szolgáltatások</w:t>
      </w:r>
    </w:p>
    <w:p w:rsidR="002C721B" w:rsidRPr="00F247BF" w:rsidRDefault="002C721B" w:rsidP="002C72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721B" w:rsidRDefault="002C721B" w:rsidP="0023409D">
      <w:pPr>
        <w:spacing w:before="0" w:after="0"/>
        <w:jc w:val="both"/>
        <w:rPr>
          <w:rFonts w:cstheme="minorHAnsi"/>
          <w:sz w:val="24"/>
          <w:szCs w:val="24"/>
        </w:rPr>
      </w:pPr>
      <w:r w:rsidRPr="00F247BF">
        <w:rPr>
          <w:rFonts w:cstheme="minorHAnsi"/>
          <w:sz w:val="24"/>
          <w:szCs w:val="24"/>
        </w:rPr>
        <w:t xml:space="preserve">A jelen </w:t>
      </w:r>
      <w:proofErr w:type="gramStart"/>
      <w:r w:rsidRPr="00F247BF">
        <w:rPr>
          <w:rFonts w:cstheme="minorHAnsi"/>
          <w:sz w:val="24"/>
          <w:szCs w:val="24"/>
        </w:rPr>
        <w:t>speciális</w:t>
      </w:r>
      <w:proofErr w:type="gramEnd"/>
      <w:r w:rsidRPr="00F247BF">
        <w:rPr>
          <w:rFonts w:cstheme="minorHAnsi"/>
          <w:sz w:val="24"/>
          <w:szCs w:val="24"/>
        </w:rPr>
        <w:t xml:space="preserve"> tájékoztató (a továbbiakban: „</w:t>
      </w:r>
      <w:r w:rsidRPr="00754B42">
        <w:rPr>
          <w:rStyle w:val="Kiemels-LightBlueChar"/>
          <w:b/>
        </w:rPr>
        <w:t>Tájékoztató</w:t>
      </w:r>
      <w:r w:rsidRPr="00F247BF">
        <w:rPr>
          <w:rFonts w:cstheme="minorHAnsi"/>
          <w:sz w:val="24"/>
          <w:szCs w:val="24"/>
        </w:rPr>
        <w:t xml:space="preserve">”) célja, hogy </w:t>
      </w:r>
      <w:r w:rsidR="00D03CDE">
        <w:rPr>
          <w:rFonts w:cstheme="minorHAnsi"/>
          <w:sz w:val="24"/>
          <w:szCs w:val="24"/>
        </w:rPr>
        <w:t xml:space="preserve">a befektetési szolgáltatási tevékenységet és kiegészítő szolgáltatást nyújtó </w:t>
      </w:r>
      <w:r w:rsidR="006E19AE">
        <w:rPr>
          <w:rFonts w:cstheme="minorHAnsi"/>
          <w:sz w:val="24"/>
          <w:szCs w:val="24"/>
        </w:rPr>
        <w:t>MBH</w:t>
      </w:r>
      <w:r w:rsidR="00AB3913">
        <w:rPr>
          <w:rFonts w:cstheme="minorHAnsi"/>
          <w:sz w:val="24"/>
          <w:szCs w:val="24"/>
        </w:rPr>
        <w:t xml:space="preserve"> Befektetési </w:t>
      </w:r>
      <w:r w:rsidRPr="00F247BF">
        <w:rPr>
          <w:rFonts w:cstheme="minorHAnsi"/>
          <w:sz w:val="24"/>
          <w:szCs w:val="24"/>
        </w:rPr>
        <w:t>Bank által gyűjtött személyes adatok kezeléséről, valamint az adatkezelés körülményeiről átlátható és közérthetően megfogalmazott tájékoztatást nyújtson a 2016/679/EU Általános adatvédelmi rendelettel („</w:t>
      </w:r>
      <w:r w:rsidRPr="00754B42">
        <w:rPr>
          <w:rStyle w:val="Kiemels-LightBlueChar"/>
          <w:b/>
        </w:rPr>
        <w:t>GDPR</w:t>
      </w:r>
      <w:r w:rsidRPr="00F247BF">
        <w:rPr>
          <w:rFonts w:cstheme="minorHAnsi"/>
          <w:sz w:val="24"/>
          <w:szCs w:val="24"/>
        </w:rPr>
        <w:t>”) összhangban.</w:t>
      </w:r>
    </w:p>
    <w:p w:rsidR="00D03CDE" w:rsidRPr="00D03CDE" w:rsidRDefault="00D03CDE" w:rsidP="006E19AE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D03CDE" w:rsidRPr="00D03CDE" w:rsidRDefault="00D03CDE" w:rsidP="00D03CDE">
      <w:pPr>
        <w:jc w:val="both"/>
        <w:rPr>
          <w:rFonts w:eastAsia="Calibri" w:cs="Arial"/>
          <w:bCs/>
          <w:sz w:val="24"/>
          <w:szCs w:val="24"/>
        </w:rPr>
      </w:pPr>
      <w:r w:rsidRPr="00D03CDE">
        <w:rPr>
          <w:rFonts w:eastAsia="Calibri" w:cs="Arial"/>
          <w:bCs/>
          <w:sz w:val="24"/>
          <w:szCs w:val="24"/>
        </w:rPr>
        <w:t>A befektetési szolgáltatás és kiegészítő szolgáltatás igénybevétele során a Bank a rendelkezésére álló személyes adatok kezelése a termék, szolgáltatás igénybevételének szükségszerű és elengedhetetlen feltétele, azok rendelkezésre bocsátásának megtagadása vagy elmaradása esetén a termék, szolgáltatás nem vehető igénybe.</w:t>
      </w:r>
    </w:p>
    <w:p w:rsidR="002C721B" w:rsidRPr="00F247BF" w:rsidRDefault="002C721B" w:rsidP="006E19AE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247BF">
        <w:rPr>
          <w:rFonts w:cstheme="minorHAnsi"/>
          <w:sz w:val="24"/>
          <w:szCs w:val="24"/>
        </w:rPr>
        <w:t xml:space="preserve">Kérjük, figyelmesen olvassa el a Tájékoztatót, és vegye figyelembe, hogy az kizárólag a </w:t>
      </w:r>
      <w:proofErr w:type="gramStart"/>
      <w:r w:rsidRPr="00F247BF">
        <w:rPr>
          <w:rFonts w:cstheme="minorHAnsi"/>
          <w:sz w:val="24"/>
          <w:szCs w:val="24"/>
        </w:rPr>
        <w:t>konkrét</w:t>
      </w:r>
      <w:proofErr w:type="gramEnd"/>
      <w:r w:rsidRPr="00F247BF">
        <w:rPr>
          <w:rFonts w:cstheme="minorHAnsi"/>
          <w:sz w:val="24"/>
          <w:szCs w:val="24"/>
        </w:rPr>
        <w:t xml:space="preserve"> adatkezeléssel kapcsolatos legfontosabb tudnivalókat foglalja össze. </w:t>
      </w:r>
      <w:r w:rsidR="002D566A" w:rsidRPr="002D566A">
        <w:rPr>
          <w:rFonts w:cstheme="minorHAnsi"/>
          <w:sz w:val="24"/>
          <w:szCs w:val="24"/>
        </w:rPr>
        <w:t xml:space="preserve">A Bank által végzett termékhez, szolgáltatáshoz nem kapcsolódó, illetve harmadik személyekre vonatkozó adatkezelésekről részletes </w:t>
      </w:r>
      <w:proofErr w:type="gramStart"/>
      <w:r w:rsidR="002D566A" w:rsidRPr="002D566A">
        <w:rPr>
          <w:rFonts w:cstheme="minorHAnsi"/>
          <w:sz w:val="24"/>
          <w:szCs w:val="24"/>
        </w:rPr>
        <w:t>információk</w:t>
      </w:r>
      <w:proofErr w:type="gramEnd"/>
      <w:r w:rsidR="002D566A" w:rsidRPr="002D566A">
        <w:rPr>
          <w:rFonts w:cstheme="minorHAnsi"/>
          <w:sz w:val="24"/>
          <w:szCs w:val="24"/>
        </w:rPr>
        <w:t xml:space="preserve"> az Általános Adatkezelési Tájékoztatóban érhetők el az </w:t>
      </w:r>
      <w:hyperlink r:id="rId11" w:history="1">
        <w:r w:rsidR="002D566A" w:rsidRPr="002D566A">
          <w:rPr>
            <w:rStyle w:val="Hiperhivatkozs"/>
            <w:rFonts w:cstheme="minorHAnsi"/>
            <w:sz w:val="24"/>
            <w:szCs w:val="24"/>
          </w:rPr>
          <w:t>mbh</w:t>
        </w:r>
        <w:r w:rsidR="008C2DD3">
          <w:rPr>
            <w:rStyle w:val="Hiperhivatkozs"/>
            <w:rFonts w:cstheme="minorHAnsi"/>
            <w:sz w:val="24"/>
            <w:szCs w:val="24"/>
          </w:rPr>
          <w:t>befektetes</w:t>
        </w:r>
        <w:r w:rsidR="00C5578E">
          <w:rPr>
            <w:rStyle w:val="Hiperhivatkozs"/>
            <w:rFonts w:cstheme="minorHAnsi"/>
            <w:sz w:val="24"/>
            <w:szCs w:val="24"/>
          </w:rPr>
          <w:t>i</w:t>
        </w:r>
        <w:r w:rsidR="002D566A" w:rsidRPr="002D566A">
          <w:rPr>
            <w:rStyle w:val="Hiperhivatkozs"/>
            <w:rFonts w:cstheme="minorHAnsi"/>
            <w:sz w:val="24"/>
            <w:szCs w:val="24"/>
          </w:rPr>
          <w:t>bank.hu/</w:t>
        </w:r>
        <w:proofErr w:type="spellStart"/>
        <w:r w:rsidR="002D566A" w:rsidRPr="002D566A">
          <w:rPr>
            <w:rStyle w:val="Hiperhivatkozs"/>
            <w:rFonts w:cstheme="minorHAnsi"/>
            <w:sz w:val="24"/>
            <w:szCs w:val="24"/>
          </w:rPr>
          <w:t>adatvedelem</w:t>
        </w:r>
        <w:proofErr w:type="spellEnd"/>
      </w:hyperlink>
      <w:r w:rsidR="002D566A" w:rsidRPr="002D566A">
        <w:rPr>
          <w:rFonts w:cstheme="minorHAnsi"/>
          <w:sz w:val="24"/>
          <w:szCs w:val="24"/>
        </w:rPr>
        <w:t xml:space="preserve"> honlapon.</w:t>
      </w:r>
    </w:p>
    <w:p w:rsidR="00F247BF" w:rsidRPr="004209B4" w:rsidRDefault="00F247BF" w:rsidP="00754B42">
      <w:pPr>
        <w:spacing w:before="0" w:after="0" w:line="240" w:lineRule="auto"/>
        <w:jc w:val="both"/>
        <w:rPr>
          <w:rFonts w:ascii="Cambria" w:hAnsi="Cambria" w:cs="Arial"/>
          <w:sz w:val="22"/>
        </w:rPr>
      </w:pPr>
    </w:p>
    <w:p w:rsidR="002C721B" w:rsidRPr="00754B42" w:rsidRDefault="002C721B" w:rsidP="00754B42">
      <w:pPr>
        <w:pStyle w:val="Alcm"/>
        <w:spacing w:after="0"/>
        <w:rPr>
          <w:b/>
          <w:color w:val="213768"/>
          <w:sz w:val="24"/>
          <w:szCs w:val="24"/>
        </w:rPr>
      </w:pPr>
      <w:r w:rsidRPr="00754B42">
        <w:rPr>
          <w:b/>
          <w:color w:val="213768"/>
          <w:sz w:val="24"/>
          <w:szCs w:val="24"/>
        </w:rPr>
        <w:t>ADATKEZELŐ ADATAI</w:t>
      </w:r>
    </w:p>
    <w:p w:rsidR="00754B42" w:rsidRPr="00754B42" w:rsidRDefault="00754B42" w:rsidP="00754B42">
      <w:pPr>
        <w:spacing w:before="0" w:after="0"/>
      </w:pP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276"/>
      </w:tblGrid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Adatkezelő neve</w:t>
            </w:r>
          </w:p>
        </w:tc>
        <w:tc>
          <w:tcPr>
            <w:tcW w:w="5276" w:type="dxa"/>
            <w:vAlign w:val="center"/>
          </w:tcPr>
          <w:p w:rsidR="002C721B" w:rsidRPr="00754B42" w:rsidRDefault="006E19AE" w:rsidP="00754B42">
            <w:pPr>
              <w:spacing w:before="0" w:after="0"/>
              <w:jc w:val="right"/>
              <w:rPr>
                <w:rFonts w:cstheme="minorHAnsi"/>
                <w:b/>
                <w:color w:val="8D1C6B"/>
                <w:sz w:val="24"/>
                <w:szCs w:val="24"/>
              </w:rPr>
            </w:pPr>
            <w:r>
              <w:rPr>
                <w:rStyle w:val="Kiemels-LightBlueChar"/>
                <w:b/>
              </w:rPr>
              <w:t>MBH</w:t>
            </w:r>
            <w:r w:rsidR="00AB3913">
              <w:rPr>
                <w:rStyle w:val="Kiemels-LightBlueChar"/>
                <w:b/>
              </w:rPr>
              <w:t xml:space="preserve"> Befektetési</w:t>
            </w:r>
            <w:r w:rsidR="002C721B" w:rsidRPr="00754B42">
              <w:rPr>
                <w:rStyle w:val="Kiemels-LightBlueChar"/>
                <w:b/>
              </w:rPr>
              <w:t xml:space="preserve"> Bank </w:t>
            </w:r>
            <w:proofErr w:type="spellStart"/>
            <w:r w:rsidR="00122262">
              <w:rPr>
                <w:rStyle w:val="Kiemels-LightBlueChar"/>
                <w:b/>
              </w:rPr>
              <w:t>Z</w:t>
            </w:r>
            <w:r w:rsidR="002C721B" w:rsidRPr="00754B42">
              <w:rPr>
                <w:rStyle w:val="Kiemels-LightBlueChar"/>
                <w:b/>
              </w:rPr>
              <w:t>rt</w:t>
            </w:r>
            <w:proofErr w:type="spellEnd"/>
            <w:r w:rsidR="002C721B" w:rsidRPr="00754B42">
              <w:rPr>
                <w:rFonts w:cstheme="minorHAnsi"/>
                <w:b/>
                <w:color w:val="8D1C6B"/>
                <w:sz w:val="24"/>
                <w:szCs w:val="24"/>
              </w:rPr>
              <w:t xml:space="preserve">. </w:t>
            </w:r>
          </w:p>
          <w:p w:rsidR="002C721B" w:rsidRPr="00016C79" w:rsidRDefault="002C721B" w:rsidP="00754B42">
            <w:pPr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 w:rsidRPr="00016C79">
              <w:rPr>
                <w:rFonts w:cstheme="minorHAnsi"/>
                <w:sz w:val="24"/>
                <w:szCs w:val="24"/>
              </w:rPr>
              <w:t>(„</w:t>
            </w:r>
            <w:r w:rsidRPr="00754B42">
              <w:rPr>
                <w:rStyle w:val="Kiemels-LightBlueChar"/>
                <w:b/>
              </w:rPr>
              <w:t>Bank</w:t>
            </w:r>
            <w:r w:rsidRPr="00016C79">
              <w:rPr>
                <w:rFonts w:cstheme="minorHAnsi"/>
                <w:sz w:val="24"/>
                <w:szCs w:val="24"/>
              </w:rPr>
              <w:t>” vagy „</w:t>
            </w:r>
            <w:r w:rsidRPr="00754B42">
              <w:rPr>
                <w:rStyle w:val="Kiemels-LightBlueChar"/>
                <w:b/>
              </w:rPr>
              <w:t>Adatkezelő</w:t>
            </w:r>
            <w:r w:rsidRPr="00016C79">
              <w:rPr>
                <w:rFonts w:cstheme="minorHAnsi"/>
                <w:sz w:val="24"/>
                <w:szCs w:val="24"/>
              </w:rPr>
              <w:t>”)</w:t>
            </w:r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Székhely</w:t>
            </w:r>
          </w:p>
        </w:tc>
        <w:tc>
          <w:tcPr>
            <w:tcW w:w="5276" w:type="dxa"/>
            <w:vAlign w:val="center"/>
          </w:tcPr>
          <w:p w:rsidR="002C721B" w:rsidRPr="00016C79" w:rsidRDefault="00AB3913" w:rsidP="00754B42">
            <w:pPr>
              <w:tabs>
                <w:tab w:val="left" w:pos="3111"/>
              </w:tabs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1117 Budapest Magyar Tudósok Körútja G. ép.</w:t>
            </w:r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Központi elérhetőségek</w:t>
            </w:r>
          </w:p>
        </w:tc>
        <w:tc>
          <w:tcPr>
            <w:tcW w:w="5276" w:type="dxa"/>
            <w:vAlign w:val="center"/>
          </w:tcPr>
          <w:p w:rsidR="002C721B" w:rsidRPr="00016C79" w:rsidRDefault="002C721B" w:rsidP="00754B42">
            <w:pPr>
              <w:tabs>
                <w:tab w:val="left" w:pos="3125"/>
              </w:tabs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 w:rsidRPr="00016C79">
              <w:rPr>
                <w:sz w:val="24"/>
                <w:szCs w:val="24"/>
              </w:rPr>
              <w:t>E-mail:</w:t>
            </w:r>
            <w:r w:rsidR="00754B42">
              <w:rPr>
                <w:sz w:val="24"/>
                <w:szCs w:val="24"/>
              </w:rPr>
              <w:t xml:space="preserve"> </w:t>
            </w:r>
            <w:hyperlink r:id="rId12" w:history="1">
              <w:r w:rsidR="00754B42" w:rsidRPr="00FE079A">
                <w:rPr>
                  <w:rStyle w:val="Hiperhivatkozs"/>
                  <w:sz w:val="24"/>
                  <w:szCs w:val="24"/>
                </w:rPr>
                <w:t>ugyfelszolgalat@mbhbank.hu</w:t>
              </w:r>
            </w:hyperlink>
            <w:r w:rsidR="00754B42">
              <w:rPr>
                <w:sz w:val="24"/>
                <w:szCs w:val="24"/>
              </w:rPr>
              <w:t xml:space="preserve"> </w:t>
            </w:r>
            <w:r w:rsidRPr="00016C79">
              <w:rPr>
                <w:sz w:val="24"/>
                <w:szCs w:val="24"/>
              </w:rPr>
              <w:t xml:space="preserve"> </w:t>
            </w:r>
            <w:r w:rsidR="00754B42">
              <w:rPr>
                <w:sz w:val="24"/>
                <w:szCs w:val="24"/>
              </w:rPr>
              <w:br/>
              <w:t xml:space="preserve">Telefonszám: 06 80 350 </w:t>
            </w:r>
            <w:r w:rsidRPr="00016C79">
              <w:rPr>
                <w:sz w:val="24"/>
                <w:szCs w:val="24"/>
              </w:rPr>
              <w:t>350 (</w:t>
            </w:r>
            <w:proofErr w:type="spellStart"/>
            <w:r w:rsidR="00754B42" w:rsidRPr="00754B42">
              <w:rPr>
                <w:b/>
                <w:color w:val="8D1C6B"/>
                <w:sz w:val="24"/>
                <w:szCs w:val="24"/>
              </w:rPr>
              <w:t>TeleBANK</w:t>
            </w:r>
            <w:proofErr w:type="spellEnd"/>
            <w:r w:rsidRPr="00016C79">
              <w:rPr>
                <w:sz w:val="24"/>
                <w:szCs w:val="24"/>
              </w:rPr>
              <w:t>)</w:t>
            </w:r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Honlap</w:t>
            </w:r>
          </w:p>
        </w:tc>
        <w:tc>
          <w:tcPr>
            <w:tcW w:w="5276" w:type="dxa"/>
            <w:vAlign w:val="center"/>
          </w:tcPr>
          <w:p w:rsidR="002C721B" w:rsidRPr="00754B42" w:rsidRDefault="00122262" w:rsidP="00754B42">
            <w:pPr>
              <w:pStyle w:val="Kiemels-LightBlue"/>
            </w:pPr>
            <w:hyperlink r:id="rId13" w:history="1">
              <w:r w:rsidR="00754B42" w:rsidRPr="00754B42">
                <w:rPr>
                  <w:rStyle w:val="Hiperhivatkozs"/>
                </w:rPr>
                <w:t>mbh</w:t>
              </w:r>
              <w:r w:rsidR="008C2DD3">
                <w:rPr>
                  <w:rStyle w:val="Hiperhivatkozs"/>
                </w:rPr>
                <w:t>befektetesi</w:t>
              </w:r>
              <w:r w:rsidR="00754B42" w:rsidRPr="00754B42">
                <w:rPr>
                  <w:rStyle w:val="Hiperhivatkozs"/>
                </w:rPr>
                <w:t>bank.hu</w:t>
              </w:r>
            </w:hyperlink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6E19AE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Cégjegyzékszám</w:t>
            </w:r>
          </w:p>
        </w:tc>
        <w:tc>
          <w:tcPr>
            <w:tcW w:w="5276" w:type="dxa"/>
            <w:vAlign w:val="center"/>
          </w:tcPr>
          <w:p w:rsidR="002C721B" w:rsidRPr="00016C79" w:rsidRDefault="00023926" w:rsidP="00023926">
            <w:pPr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01-10-041206</w:t>
            </w:r>
          </w:p>
        </w:tc>
      </w:tr>
    </w:tbl>
    <w:p w:rsidR="00754B42" w:rsidRDefault="00754B42" w:rsidP="00754B42">
      <w:pPr>
        <w:pStyle w:val="Alcm"/>
        <w:spacing w:after="0"/>
        <w:rPr>
          <w:b/>
          <w:color w:val="5ABAC4"/>
          <w:sz w:val="24"/>
          <w:szCs w:val="24"/>
        </w:rPr>
      </w:pPr>
    </w:p>
    <w:p w:rsidR="002C721B" w:rsidRPr="00754B42" w:rsidRDefault="002C721B" w:rsidP="00754B42">
      <w:pPr>
        <w:pStyle w:val="Alcm"/>
        <w:spacing w:after="0"/>
        <w:rPr>
          <w:b/>
          <w:color w:val="213768"/>
          <w:sz w:val="24"/>
          <w:szCs w:val="24"/>
        </w:rPr>
      </w:pPr>
      <w:r w:rsidRPr="00754B42">
        <w:rPr>
          <w:b/>
          <w:color w:val="213768"/>
          <w:sz w:val="24"/>
          <w:szCs w:val="24"/>
        </w:rPr>
        <w:t>ADATVÉDELMI TISZTVISELŐ ELÉRHETŐSÉGEI</w:t>
      </w:r>
    </w:p>
    <w:p w:rsidR="00754B42" w:rsidRPr="00754B42" w:rsidRDefault="00754B42" w:rsidP="00754B42">
      <w:pPr>
        <w:spacing w:before="0" w:after="0"/>
      </w:pP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276"/>
      </w:tblGrid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754B42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Postacím</w:t>
            </w:r>
          </w:p>
        </w:tc>
        <w:tc>
          <w:tcPr>
            <w:tcW w:w="5276" w:type="dxa"/>
            <w:vAlign w:val="center"/>
          </w:tcPr>
          <w:p w:rsidR="002C721B" w:rsidRPr="00016C79" w:rsidRDefault="00754B42" w:rsidP="00754B42">
            <w:pPr>
              <w:spacing w:before="0" w:after="0"/>
              <w:jc w:val="right"/>
              <w:rPr>
                <w:b/>
                <w:color w:val="C00000"/>
                <w:sz w:val="24"/>
                <w:szCs w:val="24"/>
              </w:rPr>
            </w:pPr>
            <w:r w:rsidRPr="00754B42">
              <w:rPr>
                <w:sz w:val="24"/>
                <w:szCs w:val="24"/>
              </w:rPr>
              <w:t>5600 Békéscsaba, Andrássy út 37-43.</w:t>
            </w:r>
          </w:p>
        </w:tc>
      </w:tr>
      <w:tr w:rsidR="002C721B" w:rsidTr="00310C45">
        <w:tc>
          <w:tcPr>
            <w:tcW w:w="4505" w:type="dxa"/>
            <w:shd w:val="clear" w:color="auto" w:fill="E3F3F5"/>
            <w:vAlign w:val="center"/>
          </w:tcPr>
          <w:p w:rsidR="002C721B" w:rsidRPr="00310C45" w:rsidRDefault="002C721B" w:rsidP="00754B42">
            <w:pPr>
              <w:spacing w:before="0" w:after="0"/>
              <w:rPr>
                <w:color w:val="8D1C6B"/>
                <w:sz w:val="24"/>
                <w:szCs w:val="24"/>
              </w:rPr>
            </w:pPr>
            <w:r w:rsidRPr="00310C45">
              <w:rPr>
                <w:color w:val="8D1C6B"/>
                <w:sz w:val="24"/>
                <w:szCs w:val="24"/>
              </w:rPr>
              <w:t>Email cím</w:t>
            </w:r>
          </w:p>
        </w:tc>
        <w:tc>
          <w:tcPr>
            <w:tcW w:w="5276" w:type="dxa"/>
            <w:vAlign w:val="center"/>
          </w:tcPr>
          <w:p w:rsidR="002C721B" w:rsidRPr="00754B42" w:rsidRDefault="00122262" w:rsidP="00754B42">
            <w:pPr>
              <w:pStyle w:val="Kiemels-LightBlue"/>
              <w:rPr>
                <w:color w:val="C00000"/>
              </w:rPr>
            </w:pPr>
            <w:hyperlink r:id="rId14" w:history="1">
              <w:r w:rsidR="00754B42" w:rsidRPr="00FE079A">
                <w:rPr>
                  <w:rStyle w:val="Hiperhivatkozs"/>
                </w:rPr>
                <w:t>adatvedelem@mbhbank.hu</w:t>
              </w:r>
            </w:hyperlink>
            <w:r w:rsidR="00754B42">
              <w:t xml:space="preserve"> </w:t>
            </w:r>
          </w:p>
        </w:tc>
      </w:tr>
    </w:tbl>
    <w:p w:rsidR="006E19AE" w:rsidRDefault="006E19AE" w:rsidP="006E19AE">
      <w:pPr>
        <w:spacing w:before="0" w:after="0"/>
        <w:jc w:val="both"/>
        <w:rPr>
          <w:sz w:val="24"/>
          <w:szCs w:val="24"/>
        </w:rPr>
      </w:pPr>
    </w:p>
    <w:p w:rsidR="006E19AE" w:rsidRDefault="002C721B" w:rsidP="006E19AE">
      <w:pPr>
        <w:spacing w:before="0" w:after="0" w:line="240" w:lineRule="auto"/>
        <w:jc w:val="both"/>
        <w:rPr>
          <w:sz w:val="24"/>
          <w:szCs w:val="24"/>
        </w:rPr>
      </w:pPr>
      <w:r w:rsidRPr="00016C79">
        <w:rPr>
          <w:sz w:val="24"/>
          <w:szCs w:val="24"/>
        </w:rPr>
        <w:t xml:space="preserve">Személyes adatok védelmével kapcsolatos kérés, kérdés, panasz, illetve a személyes adatok kezelésével összefüggő jog gyakorlására irányuló kérelem esetén az </w:t>
      </w:r>
      <w:r w:rsidR="00962BB2">
        <w:rPr>
          <w:sz w:val="24"/>
          <w:szCs w:val="24"/>
        </w:rPr>
        <w:t>MBH</w:t>
      </w:r>
      <w:r w:rsidR="00AB3913">
        <w:rPr>
          <w:sz w:val="24"/>
          <w:szCs w:val="24"/>
        </w:rPr>
        <w:t xml:space="preserve"> Befektetési</w:t>
      </w:r>
      <w:r w:rsidRPr="00016C79">
        <w:rPr>
          <w:sz w:val="24"/>
          <w:szCs w:val="24"/>
        </w:rPr>
        <w:t xml:space="preserve"> Bank </w:t>
      </w:r>
      <w:proofErr w:type="spellStart"/>
      <w:r w:rsidR="00122262">
        <w:rPr>
          <w:sz w:val="24"/>
          <w:szCs w:val="24"/>
        </w:rPr>
        <w:t>Z</w:t>
      </w:r>
      <w:r w:rsidRPr="00016C79">
        <w:rPr>
          <w:sz w:val="24"/>
          <w:szCs w:val="24"/>
        </w:rPr>
        <w:t>rt</w:t>
      </w:r>
      <w:proofErr w:type="spellEnd"/>
      <w:r w:rsidRPr="00016C79">
        <w:rPr>
          <w:sz w:val="24"/>
          <w:szCs w:val="24"/>
        </w:rPr>
        <w:t>. adatvédelmi tisztviselőjéhez fordulhat.</w:t>
      </w:r>
    </w:p>
    <w:p w:rsidR="002C721B" w:rsidRPr="00016C79" w:rsidRDefault="002C721B" w:rsidP="006E19AE">
      <w:pPr>
        <w:spacing w:before="0" w:after="0"/>
        <w:jc w:val="both"/>
        <w:rPr>
          <w:rFonts w:cs="Arial"/>
          <w:sz w:val="24"/>
          <w:szCs w:val="24"/>
        </w:rPr>
      </w:pPr>
      <w:r w:rsidRPr="00016C79">
        <w:rPr>
          <w:rFonts w:cs="Arial"/>
          <w:sz w:val="24"/>
          <w:szCs w:val="24"/>
        </w:rPr>
        <w:tab/>
        <w:t xml:space="preserve"> </w:t>
      </w:r>
    </w:p>
    <w:p w:rsidR="002C721B" w:rsidRPr="00B20C7A" w:rsidRDefault="002C721B" w:rsidP="00B20C7A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B20C7A">
        <w:rPr>
          <w:rFonts w:eastAsia="Times New Roman"/>
          <w:b/>
          <w:color w:val="213768"/>
          <w:sz w:val="24"/>
          <w:szCs w:val="24"/>
          <w:lang w:eastAsia="hu-HU"/>
        </w:rPr>
        <w:t>A SZEMÉLYES ADATOK KEZELÉSÉNEK CÉLJA, JOGALAPJA ÉS A KEZELT ADATOK</w:t>
      </w:r>
    </w:p>
    <w:p w:rsidR="006E19AE" w:rsidRDefault="006E19AE" w:rsidP="006E19AE">
      <w:pPr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2C721B" w:rsidRPr="00016C79" w:rsidRDefault="002C721B" w:rsidP="006E19AE">
      <w:pPr>
        <w:spacing w:before="0" w:after="0" w:line="240" w:lineRule="auto"/>
        <w:jc w:val="both"/>
        <w:rPr>
          <w:rFonts w:cs="Arial"/>
          <w:sz w:val="24"/>
          <w:szCs w:val="24"/>
        </w:rPr>
      </w:pPr>
      <w:r w:rsidRPr="00016C79">
        <w:rPr>
          <w:rFonts w:cs="Arial"/>
          <w:sz w:val="24"/>
          <w:szCs w:val="24"/>
        </w:rPr>
        <w:t>A jelen speciális adatkezelés céljai különösen:</w:t>
      </w:r>
    </w:p>
    <w:p w:rsidR="003E3C25" w:rsidRPr="003E3C25" w:rsidRDefault="003E3C25" w:rsidP="003E3C25">
      <w:pPr>
        <w:pStyle w:val="Listaszerbekezds"/>
        <w:numPr>
          <w:ilvl w:val="0"/>
          <w:numId w:val="16"/>
        </w:numPr>
        <w:spacing w:before="0" w:after="120"/>
        <w:ind w:left="714" w:hanging="357"/>
        <w:contextualSpacing w:val="0"/>
        <w:jc w:val="both"/>
        <w:rPr>
          <w:rFonts w:cs="Arial"/>
          <w:bCs/>
          <w:sz w:val="24"/>
          <w:szCs w:val="24"/>
        </w:rPr>
      </w:pPr>
      <w:bookmarkStart w:id="0" w:name="_Hlk525056285"/>
      <w:r w:rsidRPr="003E3C25">
        <w:rPr>
          <w:rFonts w:cs="Arial"/>
          <w:i/>
          <w:sz w:val="24"/>
          <w:szCs w:val="24"/>
        </w:rPr>
        <w:lastRenderedPageBreak/>
        <w:t>a befektetési vállalkozásokról és az árutőzsdei szolgáltatókról, valamint az általuk végezhető tevékenységek szabályairól</w:t>
      </w:r>
      <w:r w:rsidRPr="003E3C25">
        <w:rPr>
          <w:rFonts w:cs="Arial"/>
          <w:bCs/>
          <w:i/>
          <w:sz w:val="24"/>
          <w:szCs w:val="24"/>
        </w:rPr>
        <w:t xml:space="preserve"> szóló </w:t>
      </w:r>
      <w:r w:rsidRPr="003E3C25">
        <w:rPr>
          <w:rFonts w:cs="Arial"/>
          <w:i/>
          <w:sz w:val="24"/>
          <w:szCs w:val="24"/>
        </w:rPr>
        <w:t>2007. évi CXXXVIII. törvény</w:t>
      </w:r>
      <w:r w:rsidRPr="003E3C25">
        <w:rPr>
          <w:rFonts w:cs="Arial"/>
          <w:bCs/>
          <w:sz w:val="24"/>
          <w:szCs w:val="24"/>
        </w:rPr>
        <w:t xml:space="preserve"> (a továbbiakban: „</w:t>
      </w:r>
      <w:proofErr w:type="spellStart"/>
      <w:r w:rsidRPr="003E3C25">
        <w:rPr>
          <w:rFonts w:cs="Arial"/>
          <w:b/>
          <w:bCs/>
          <w:sz w:val="24"/>
          <w:szCs w:val="24"/>
        </w:rPr>
        <w:t>Bszt</w:t>
      </w:r>
      <w:proofErr w:type="spellEnd"/>
      <w:r w:rsidRPr="003E3C25">
        <w:rPr>
          <w:rFonts w:cs="Arial"/>
          <w:b/>
          <w:bCs/>
          <w:sz w:val="24"/>
          <w:szCs w:val="24"/>
        </w:rPr>
        <w:t>.</w:t>
      </w:r>
      <w:r w:rsidRPr="003E3C25">
        <w:rPr>
          <w:rFonts w:cs="Arial"/>
          <w:bCs/>
          <w:sz w:val="24"/>
          <w:szCs w:val="24"/>
        </w:rPr>
        <w:t>”)</w:t>
      </w:r>
      <w:r w:rsidRPr="003E3C25">
        <w:rPr>
          <w:rFonts w:cs="Arial"/>
          <w:i/>
          <w:sz w:val="24"/>
          <w:szCs w:val="24"/>
        </w:rPr>
        <w:t xml:space="preserve"> </w:t>
      </w:r>
      <w:r w:rsidRPr="003E3C25">
        <w:rPr>
          <w:rFonts w:cs="Arial"/>
          <w:sz w:val="24"/>
          <w:szCs w:val="24"/>
        </w:rPr>
        <w:t>szerinti befektetési szolgáltatások nyújtása, igénybevétele</w:t>
      </w:r>
      <w:bookmarkEnd w:id="0"/>
      <w:r w:rsidRPr="003E3C25">
        <w:rPr>
          <w:rFonts w:cs="Arial"/>
          <w:sz w:val="24"/>
          <w:szCs w:val="24"/>
        </w:rPr>
        <w:t>;</w:t>
      </w:r>
    </w:p>
    <w:p w:rsidR="003E3C25" w:rsidRPr="003E3C25" w:rsidRDefault="003E3C25" w:rsidP="003E3C25">
      <w:pPr>
        <w:pStyle w:val="Listaszerbekezds"/>
        <w:numPr>
          <w:ilvl w:val="0"/>
          <w:numId w:val="16"/>
        </w:numPr>
        <w:spacing w:before="0" w:after="120"/>
        <w:contextualSpacing w:val="0"/>
        <w:jc w:val="both"/>
        <w:rPr>
          <w:rFonts w:cs="Arial"/>
          <w:bCs/>
          <w:sz w:val="24"/>
          <w:szCs w:val="24"/>
        </w:rPr>
      </w:pPr>
      <w:r w:rsidRPr="003E3C25">
        <w:rPr>
          <w:rFonts w:cs="Arial"/>
          <w:i/>
          <w:sz w:val="24"/>
          <w:szCs w:val="24"/>
        </w:rPr>
        <w:t xml:space="preserve">a pénzmosás és a terrorizmus </w:t>
      </w:r>
      <w:proofErr w:type="gramStart"/>
      <w:r w:rsidRPr="003E3C25">
        <w:rPr>
          <w:rFonts w:cs="Arial"/>
          <w:i/>
          <w:sz w:val="24"/>
          <w:szCs w:val="24"/>
        </w:rPr>
        <w:t>finanszírozása</w:t>
      </w:r>
      <w:proofErr w:type="gramEnd"/>
      <w:r w:rsidRPr="003E3C25">
        <w:rPr>
          <w:rFonts w:cs="Arial"/>
          <w:i/>
          <w:sz w:val="24"/>
          <w:szCs w:val="24"/>
        </w:rPr>
        <w:t xml:space="preserve"> megelőzéséről és megakadályozásáról szóló 2017. évi LIII. törvény </w:t>
      </w:r>
      <w:r w:rsidRPr="003E3C25">
        <w:rPr>
          <w:rFonts w:cs="Arial"/>
          <w:sz w:val="24"/>
          <w:szCs w:val="24"/>
        </w:rPr>
        <w:t>(a továbbiakban: „</w:t>
      </w:r>
      <w:proofErr w:type="spellStart"/>
      <w:r w:rsidRPr="003E3C25">
        <w:rPr>
          <w:rFonts w:cs="Arial"/>
          <w:b/>
          <w:sz w:val="24"/>
          <w:szCs w:val="24"/>
        </w:rPr>
        <w:t>Pmt</w:t>
      </w:r>
      <w:proofErr w:type="spellEnd"/>
      <w:r w:rsidRPr="003E3C25">
        <w:rPr>
          <w:rFonts w:cs="Arial"/>
          <w:b/>
          <w:sz w:val="24"/>
          <w:szCs w:val="24"/>
        </w:rPr>
        <w:t>.</w:t>
      </w:r>
      <w:r w:rsidRPr="003E3C25">
        <w:rPr>
          <w:rFonts w:cs="Arial"/>
          <w:sz w:val="24"/>
          <w:szCs w:val="24"/>
        </w:rPr>
        <w:t>”) szerinti azonosítás elvégzése;</w:t>
      </w:r>
    </w:p>
    <w:p w:rsidR="003E3C25" w:rsidRPr="003E3C25" w:rsidRDefault="003E3C25" w:rsidP="003E3C25">
      <w:pPr>
        <w:pStyle w:val="Listaszerbekezds"/>
        <w:numPr>
          <w:ilvl w:val="0"/>
          <w:numId w:val="16"/>
        </w:numPr>
        <w:spacing w:before="0" w:after="120"/>
        <w:ind w:left="714" w:hanging="357"/>
        <w:contextualSpacing w:val="0"/>
        <w:jc w:val="both"/>
        <w:rPr>
          <w:rFonts w:cs="Arial"/>
          <w:bCs/>
          <w:sz w:val="24"/>
          <w:szCs w:val="24"/>
        </w:rPr>
      </w:pPr>
      <w:r w:rsidRPr="003E3C25">
        <w:rPr>
          <w:rFonts w:cs="Arial"/>
          <w:bCs/>
          <w:sz w:val="24"/>
          <w:szCs w:val="24"/>
        </w:rPr>
        <w:t xml:space="preserve">kapcsolattartás az adatkezeléssel érintett személy/ügyfél vonatkozásában; </w:t>
      </w:r>
    </w:p>
    <w:p w:rsidR="002C721B" w:rsidRPr="00016C79" w:rsidRDefault="002C721B" w:rsidP="006E19AE">
      <w:pPr>
        <w:spacing w:before="0" w:after="0"/>
        <w:rPr>
          <w:rFonts w:cs="Arial"/>
          <w:sz w:val="24"/>
          <w:szCs w:val="24"/>
          <w:highlight w:val="yellow"/>
        </w:rPr>
      </w:pPr>
    </w:p>
    <w:p w:rsidR="002C721B" w:rsidRPr="00016C79" w:rsidRDefault="002C721B" w:rsidP="006E19AE">
      <w:pPr>
        <w:spacing w:before="0" w:after="0" w:line="240" w:lineRule="auto"/>
        <w:jc w:val="both"/>
        <w:rPr>
          <w:rFonts w:cs="Arial"/>
          <w:sz w:val="24"/>
          <w:szCs w:val="24"/>
        </w:rPr>
      </w:pPr>
      <w:r w:rsidRPr="00016C79">
        <w:rPr>
          <w:rFonts w:cs="Arial"/>
          <w:sz w:val="24"/>
          <w:szCs w:val="24"/>
        </w:rPr>
        <w:t>A kezelt adatok az érintettek által a szerződéskötés során megadott, valamint a szolgáltatás igénybevétele során keletkező egyéb, az érintettel kapcsolatba hozható adatok, valamint az azokból levonható következtetések.</w:t>
      </w:r>
    </w:p>
    <w:p w:rsidR="002C721B" w:rsidRPr="00016C79" w:rsidRDefault="002C721B" w:rsidP="006E19AE">
      <w:pPr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2C721B" w:rsidRPr="00016C79" w:rsidRDefault="002C721B" w:rsidP="006E19AE">
      <w:pPr>
        <w:spacing w:before="0" w:after="0" w:line="240" w:lineRule="auto"/>
        <w:jc w:val="both"/>
        <w:rPr>
          <w:rFonts w:cs="Arial"/>
          <w:sz w:val="24"/>
          <w:szCs w:val="24"/>
          <w:highlight w:val="yellow"/>
        </w:rPr>
      </w:pPr>
      <w:r w:rsidRPr="00016C79">
        <w:rPr>
          <w:rFonts w:cs="Arial"/>
          <w:sz w:val="24"/>
          <w:szCs w:val="24"/>
        </w:rPr>
        <w:t>A kezelt adatokra, az egyes adatkezelési célok kapcsán az adatok kezelésének jogalapjaira vonatkozó információkat részletesen a Tájékoztató 1. sz. függeléke tartalmazza.</w:t>
      </w:r>
    </w:p>
    <w:p w:rsidR="002C721B" w:rsidRPr="00016C79" w:rsidRDefault="002C721B" w:rsidP="006E19AE">
      <w:pPr>
        <w:spacing w:before="0"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2C721B" w:rsidRPr="00B20C7A" w:rsidRDefault="002C721B" w:rsidP="00B20C7A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B20C7A">
        <w:rPr>
          <w:rFonts w:eastAsia="Times New Roman"/>
          <w:b/>
          <w:color w:val="213768"/>
          <w:sz w:val="24"/>
          <w:szCs w:val="24"/>
          <w:lang w:eastAsia="hu-HU"/>
        </w:rPr>
        <w:t>AZ ADATKEZELÉS IDŐTARTAMA (MEGŐRZÉSI IDŐ)</w:t>
      </w:r>
    </w:p>
    <w:p w:rsidR="00B20C7A" w:rsidRPr="00B20C7A" w:rsidRDefault="00B20C7A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>A Bank által végzett adatkezelések időtartamával kapcsolatos általános információk az Általános Adatkezelési Tájékoztató 5. pontjában olvashatók.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>A jelen speciális adatkezelésre vonatkozó megőrzési idők a tájékoztató 1. sz. függelékében találhatók.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B20C7A">
        <w:rPr>
          <w:rFonts w:eastAsia="Times New Roman"/>
          <w:b/>
          <w:color w:val="213768"/>
          <w:sz w:val="24"/>
          <w:szCs w:val="24"/>
          <w:lang w:eastAsia="hu-HU"/>
        </w:rPr>
        <w:t>KIK FÉRHETNEK HOZZÁ AZ ÉRINTETTEK SZEMÉLYES ADATAIHOZ, KIVEL OSZTJUK MEG AZOKAT</w:t>
      </w:r>
      <w:r w:rsidR="00016C79" w:rsidRPr="00B20C7A">
        <w:rPr>
          <w:rFonts w:eastAsia="Times New Roman"/>
          <w:b/>
          <w:color w:val="213768"/>
          <w:sz w:val="24"/>
          <w:szCs w:val="24"/>
          <w:lang w:eastAsia="hu-HU"/>
        </w:rPr>
        <w:t>?</w:t>
      </w:r>
    </w:p>
    <w:p w:rsidR="00B20C7A" w:rsidRDefault="00B20C7A" w:rsidP="00B20C7A">
      <w:pPr>
        <w:spacing w:before="0" w:after="0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 xml:space="preserve">Az adatokat a banki munkavállalók a feladataik teljesítéséhez szükséges célokból és ahhoz feltétlenül szükséges mértékben ismerheti meg a </w:t>
      </w:r>
      <w:proofErr w:type="spellStart"/>
      <w:r w:rsidRPr="00B20C7A">
        <w:rPr>
          <w:rFonts w:cstheme="minorHAnsi"/>
          <w:sz w:val="24"/>
          <w:szCs w:val="24"/>
        </w:rPr>
        <w:t>need-to-know</w:t>
      </w:r>
      <w:proofErr w:type="spellEnd"/>
      <w:r w:rsidRPr="00B20C7A">
        <w:rPr>
          <w:rFonts w:cstheme="minorHAnsi"/>
          <w:sz w:val="24"/>
          <w:szCs w:val="24"/>
        </w:rPr>
        <w:t xml:space="preserve"> elve alapján</w:t>
      </w:r>
      <w:r w:rsidR="003E3C25">
        <w:rPr>
          <w:rFonts w:cstheme="minorHAnsi"/>
          <w:sz w:val="24"/>
          <w:szCs w:val="24"/>
        </w:rPr>
        <w:t>.</w:t>
      </w:r>
    </w:p>
    <w:p w:rsidR="002C721B" w:rsidRPr="00B20C7A" w:rsidRDefault="002C721B" w:rsidP="00B20C7A">
      <w:pPr>
        <w:spacing w:before="0" w:after="0"/>
        <w:jc w:val="both"/>
        <w:rPr>
          <w:rFonts w:cstheme="minorHAnsi"/>
          <w:sz w:val="24"/>
          <w:szCs w:val="24"/>
        </w:rPr>
      </w:pPr>
    </w:p>
    <w:p w:rsidR="002C721B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>A kezelt személyes adatok átadhatók más személyek részére („</w:t>
      </w:r>
      <w:r w:rsidRPr="00B20C7A">
        <w:rPr>
          <w:rStyle w:val="Kiemels-LightBlueChar"/>
          <w:b/>
        </w:rPr>
        <w:t>Címzettek</w:t>
      </w:r>
      <w:r w:rsidRPr="00B20C7A">
        <w:rPr>
          <w:rFonts w:cstheme="minorHAnsi"/>
          <w:sz w:val="24"/>
          <w:szCs w:val="24"/>
        </w:rPr>
        <w:t>”). Címzettek lehetnek közhatalmi szervek, hatóságok vagy más közhatalmi feladatot ellátó szervek, illetve bíróságok, akik részére a személyes adatok átadása jogi kötelezettség teljesítése [GDPR 6. cikk (1) c) pont – „Törvényi jogalap”] céljából szükséges.</w:t>
      </w:r>
    </w:p>
    <w:p w:rsidR="00023926" w:rsidRDefault="00023926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23926" w:rsidRPr="00023926" w:rsidRDefault="00023926" w:rsidP="00023926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23926" w:rsidRPr="007B60D7" w:rsidRDefault="00023926" w:rsidP="00023926">
      <w:pPr>
        <w:spacing w:before="0" w:after="0" w:line="240" w:lineRule="auto"/>
        <w:jc w:val="both"/>
        <w:rPr>
          <w:rFonts w:cstheme="minorHAnsi"/>
          <w:b/>
          <w:bCs/>
          <w:color w:val="203667" w:themeColor="text2"/>
          <w:sz w:val="24"/>
          <w:szCs w:val="24"/>
        </w:rPr>
      </w:pPr>
      <w:r w:rsidRPr="007B60D7">
        <w:rPr>
          <w:rFonts w:cstheme="minorHAnsi"/>
          <w:b/>
          <w:bCs/>
          <w:color w:val="203667" w:themeColor="text2"/>
          <w:sz w:val="24"/>
          <w:szCs w:val="24"/>
        </w:rPr>
        <w:t xml:space="preserve">A Hitelintézet Egységes Informatikai Rendszerben megvalósuló adatkezelésének </w:t>
      </w:r>
      <w:proofErr w:type="spellStart"/>
      <w:r w:rsidRPr="007B60D7">
        <w:rPr>
          <w:rFonts w:cstheme="minorHAnsi"/>
          <w:b/>
          <w:bCs/>
          <w:color w:val="203667" w:themeColor="text2"/>
          <w:sz w:val="24"/>
          <w:szCs w:val="24"/>
        </w:rPr>
        <w:t>specifikumai</w:t>
      </w:r>
      <w:proofErr w:type="spellEnd"/>
    </w:p>
    <w:p w:rsidR="00023926" w:rsidRPr="00023926" w:rsidRDefault="00023926" w:rsidP="00023926">
      <w:pPr>
        <w:spacing w:before="0"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23926" w:rsidRPr="00023926" w:rsidRDefault="00023926" w:rsidP="00023926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023926">
        <w:rPr>
          <w:rFonts w:cstheme="minorHAnsi"/>
          <w:sz w:val="24"/>
          <w:szCs w:val="24"/>
        </w:rPr>
        <w:t xml:space="preserve">A Hitelintézet Egységes Informatikai Rendszerben (a továbbiakban: </w:t>
      </w:r>
      <w:r w:rsidRPr="00023926">
        <w:rPr>
          <w:rFonts w:cstheme="minorHAnsi"/>
          <w:b/>
          <w:bCs/>
          <w:sz w:val="24"/>
          <w:szCs w:val="24"/>
        </w:rPr>
        <w:t>EIR</w:t>
      </w:r>
      <w:r w:rsidRPr="00023926">
        <w:rPr>
          <w:rFonts w:cstheme="minorHAnsi"/>
          <w:sz w:val="24"/>
          <w:szCs w:val="24"/>
        </w:rPr>
        <w:t xml:space="preserve">) megvalósuló személyes adatkezeléseire az </w:t>
      </w:r>
      <w:proofErr w:type="spellStart"/>
      <w:r w:rsidRPr="00023926">
        <w:rPr>
          <w:rFonts w:cstheme="minorHAnsi"/>
          <w:sz w:val="24"/>
          <w:szCs w:val="24"/>
        </w:rPr>
        <w:t>Szhitv</w:t>
      </w:r>
      <w:proofErr w:type="spellEnd"/>
      <w:r w:rsidRPr="00023926">
        <w:rPr>
          <w:rFonts w:cstheme="minorHAnsi"/>
          <w:sz w:val="24"/>
          <w:szCs w:val="24"/>
        </w:rPr>
        <w:t xml:space="preserve">. </w:t>
      </w:r>
      <w:proofErr w:type="gramStart"/>
      <w:r w:rsidRPr="00023926">
        <w:rPr>
          <w:rFonts w:cstheme="minorHAnsi"/>
          <w:sz w:val="24"/>
          <w:szCs w:val="24"/>
        </w:rPr>
        <w:t>speciális</w:t>
      </w:r>
      <w:proofErr w:type="gramEnd"/>
      <w:r w:rsidRPr="00023926">
        <w:rPr>
          <w:rFonts w:cstheme="minorHAnsi"/>
          <w:sz w:val="24"/>
          <w:szCs w:val="24"/>
        </w:rPr>
        <w:t xml:space="preserve"> rendelkezései is vonatkoznak.</w:t>
      </w:r>
    </w:p>
    <w:p w:rsidR="00023926" w:rsidRPr="00023926" w:rsidRDefault="00023926" w:rsidP="00023926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023926">
        <w:rPr>
          <w:rFonts w:cstheme="minorHAnsi"/>
          <w:i/>
          <w:iCs/>
          <w:sz w:val="24"/>
          <w:szCs w:val="24"/>
        </w:rPr>
        <w:t>A szövetkezeti hitelintézetek integrációjáról és egyes gazdasági tárgyú jogszabályok módosításáról szóló 2013. évi CXXXV. törvény</w:t>
      </w:r>
      <w:r w:rsidRPr="00023926">
        <w:rPr>
          <w:rFonts w:cstheme="minorHAnsi"/>
          <w:sz w:val="24"/>
          <w:szCs w:val="24"/>
        </w:rPr>
        <w:t xml:space="preserve"> (a továbbiakban: „</w:t>
      </w:r>
      <w:proofErr w:type="spellStart"/>
      <w:r w:rsidRPr="00023926">
        <w:rPr>
          <w:rFonts w:cstheme="minorHAnsi"/>
          <w:b/>
          <w:bCs/>
          <w:sz w:val="24"/>
          <w:szCs w:val="24"/>
        </w:rPr>
        <w:t>Szhitv</w:t>
      </w:r>
      <w:proofErr w:type="spellEnd"/>
      <w:r w:rsidRPr="00023926">
        <w:rPr>
          <w:rFonts w:cstheme="minorHAnsi"/>
          <w:b/>
          <w:bCs/>
          <w:sz w:val="24"/>
          <w:szCs w:val="24"/>
        </w:rPr>
        <w:t>.</w:t>
      </w:r>
      <w:r w:rsidRPr="00023926">
        <w:rPr>
          <w:rFonts w:cstheme="minorHAnsi"/>
          <w:sz w:val="24"/>
          <w:szCs w:val="24"/>
        </w:rPr>
        <w:t>”) 17/U. §-</w:t>
      </w:r>
      <w:proofErr w:type="gramStart"/>
      <w:r w:rsidRPr="00023926">
        <w:rPr>
          <w:rFonts w:cstheme="minorHAnsi"/>
          <w:sz w:val="24"/>
          <w:szCs w:val="24"/>
        </w:rPr>
        <w:t>a</w:t>
      </w:r>
      <w:proofErr w:type="gramEnd"/>
      <w:r w:rsidRPr="00023926">
        <w:rPr>
          <w:rFonts w:cstheme="minorHAnsi"/>
          <w:sz w:val="24"/>
          <w:szCs w:val="24"/>
        </w:rPr>
        <w:t xml:space="preserve"> értelmében az EIR-</w:t>
      </w:r>
      <w:proofErr w:type="spellStart"/>
      <w:r w:rsidRPr="00023926">
        <w:rPr>
          <w:rFonts w:cstheme="minorHAnsi"/>
          <w:sz w:val="24"/>
          <w:szCs w:val="24"/>
        </w:rPr>
        <w:t>hez</w:t>
      </w:r>
      <w:proofErr w:type="spellEnd"/>
      <w:r w:rsidRPr="00023926">
        <w:rPr>
          <w:rFonts w:cstheme="minorHAnsi"/>
          <w:sz w:val="24"/>
          <w:szCs w:val="24"/>
        </w:rPr>
        <w:t xml:space="preserve"> csatlakozott tagokat, valamint a hozzáféréssel rendelkező szervezeteket az EIR-</w:t>
      </w:r>
      <w:proofErr w:type="spellStart"/>
      <w:r w:rsidRPr="00023926">
        <w:rPr>
          <w:rFonts w:cstheme="minorHAnsi"/>
          <w:sz w:val="24"/>
          <w:szCs w:val="24"/>
        </w:rPr>
        <w:t>ben</w:t>
      </w:r>
      <w:proofErr w:type="spellEnd"/>
      <w:r w:rsidRPr="00023926">
        <w:rPr>
          <w:rFonts w:cstheme="minorHAnsi"/>
          <w:sz w:val="24"/>
          <w:szCs w:val="24"/>
        </w:rPr>
        <w:t xml:space="preserve"> történő adatkezelés tekintetében </w:t>
      </w:r>
      <w:r w:rsidRPr="00023926">
        <w:rPr>
          <w:rFonts w:cstheme="minorHAnsi"/>
          <w:b/>
          <w:bCs/>
          <w:sz w:val="24"/>
          <w:szCs w:val="24"/>
        </w:rPr>
        <w:t>közös adatkezelőnek</w:t>
      </w:r>
      <w:r w:rsidRPr="00023926">
        <w:rPr>
          <w:rFonts w:cstheme="minorHAnsi"/>
          <w:sz w:val="24"/>
          <w:szCs w:val="24"/>
        </w:rPr>
        <w:t xml:space="preserve"> minősíti, amelyek jogosultak egymás ügyfeleinek kölcsönös kiszolgálására az EIR-</w:t>
      </w:r>
      <w:proofErr w:type="spellStart"/>
      <w:r w:rsidRPr="00023926">
        <w:rPr>
          <w:rFonts w:cstheme="minorHAnsi"/>
          <w:sz w:val="24"/>
          <w:szCs w:val="24"/>
        </w:rPr>
        <w:t>ben</w:t>
      </w:r>
      <w:proofErr w:type="spellEnd"/>
      <w:r w:rsidRPr="00023926">
        <w:rPr>
          <w:rFonts w:cstheme="minorHAnsi"/>
          <w:sz w:val="24"/>
          <w:szCs w:val="24"/>
        </w:rPr>
        <w:t xml:space="preserve"> kezelt adatok felhasználásával.</w:t>
      </w:r>
    </w:p>
    <w:p w:rsidR="00023926" w:rsidRPr="00023926" w:rsidRDefault="00023926" w:rsidP="00023926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023926">
        <w:rPr>
          <w:rFonts w:cstheme="minorHAnsi"/>
          <w:sz w:val="24"/>
          <w:szCs w:val="24"/>
        </w:rPr>
        <w:lastRenderedPageBreak/>
        <w:t>Az EIR-</w:t>
      </w:r>
      <w:proofErr w:type="spellStart"/>
      <w:r w:rsidRPr="00023926">
        <w:rPr>
          <w:rFonts w:cstheme="minorHAnsi"/>
          <w:sz w:val="24"/>
          <w:szCs w:val="24"/>
        </w:rPr>
        <w:t>ben</w:t>
      </w:r>
      <w:proofErr w:type="spellEnd"/>
      <w:r w:rsidRPr="00023926">
        <w:rPr>
          <w:rFonts w:cstheme="minorHAnsi"/>
          <w:sz w:val="24"/>
          <w:szCs w:val="24"/>
        </w:rPr>
        <w:t xml:space="preserve"> kezelt személyes adatokat, bank-, értékpapír-, fizetési, illetve biztosítási titoknak is minősülő adatokat a csatlakozott tagok és a hozzáféréssel rendelkező szervezetek tevékenységi körük ellátásával összefüggésben - ha az ügyfél nem tett az </w:t>
      </w:r>
      <w:proofErr w:type="spellStart"/>
      <w:r w:rsidRPr="00023926">
        <w:rPr>
          <w:rFonts w:cstheme="minorHAnsi"/>
          <w:sz w:val="24"/>
          <w:szCs w:val="24"/>
        </w:rPr>
        <w:t>Szhitv</w:t>
      </w:r>
      <w:proofErr w:type="spellEnd"/>
      <w:r w:rsidRPr="00023926">
        <w:rPr>
          <w:rFonts w:cstheme="minorHAnsi"/>
          <w:sz w:val="24"/>
          <w:szCs w:val="24"/>
        </w:rPr>
        <w:t xml:space="preserve">. 17/U.§ (3a) bekezdés szerinti korlátozó vagy tiltó nyilatkozatot - a szolgáltatásaik nyújtásához szükséges mértékben kölcsönösen megismerhetik, az egyedi szolgáltatásokhoz való hozzáférés biztosítása céljából egymásnak továbbíthatják, felhasználhatják, módosíthatják és az </w:t>
      </w:r>
      <w:proofErr w:type="spellStart"/>
      <w:r w:rsidRPr="00023926">
        <w:rPr>
          <w:rFonts w:cstheme="minorHAnsi"/>
          <w:sz w:val="24"/>
          <w:szCs w:val="24"/>
        </w:rPr>
        <w:t>Szhitv-ben</w:t>
      </w:r>
      <w:proofErr w:type="spellEnd"/>
      <w:r w:rsidRPr="00023926">
        <w:rPr>
          <w:rFonts w:cstheme="minorHAnsi"/>
          <w:sz w:val="24"/>
          <w:szCs w:val="24"/>
        </w:rPr>
        <w:t xml:space="preserve"> meghatározott feltételek mellett az átvett adatokat az ügyfélkapcsolat létrehozásának és fennállásának időtartamában kezelhetik.</w:t>
      </w:r>
    </w:p>
    <w:p w:rsidR="00023926" w:rsidRPr="00023926" w:rsidRDefault="00023926" w:rsidP="00023926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023926">
        <w:rPr>
          <w:rFonts w:cstheme="minorHAnsi"/>
          <w:sz w:val="24"/>
          <w:szCs w:val="24"/>
        </w:rPr>
        <w:t xml:space="preserve">Felhívjuk Ügyfeleink figyelmét, hogy az adataik fentieknek megfelelő kezelését az </w:t>
      </w:r>
      <w:proofErr w:type="spellStart"/>
      <w:r w:rsidRPr="00023926">
        <w:rPr>
          <w:rFonts w:cstheme="minorHAnsi"/>
          <w:sz w:val="24"/>
          <w:szCs w:val="24"/>
        </w:rPr>
        <w:t>Szhitv</w:t>
      </w:r>
      <w:proofErr w:type="spellEnd"/>
      <w:r w:rsidRPr="00023926">
        <w:rPr>
          <w:rFonts w:cstheme="minorHAnsi"/>
          <w:sz w:val="24"/>
          <w:szCs w:val="24"/>
        </w:rPr>
        <w:t xml:space="preserve">. 17/U § (3a) bekezdése szerinti kifejezett nyilatkozatukkal megtilthatják vagy korlátozhatják. </w:t>
      </w:r>
    </w:p>
    <w:p w:rsidR="00023926" w:rsidRPr="00023926" w:rsidRDefault="00023926" w:rsidP="00023926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023926">
        <w:rPr>
          <w:rFonts w:cstheme="minorHAnsi"/>
          <w:sz w:val="24"/>
          <w:szCs w:val="24"/>
        </w:rPr>
        <w:t xml:space="preserve">Az EIR vonatkozásában a Hitelintézettel közös adatkezelőnek az MBH Jelzálogbank </w:t>
      </w:r>
      <w:bookmarkStart w:id="1" w:name="_GoBack"/>
      <w:proofErr w:type="spellStart"/>
      <w:r w:rsidRPr="00023926">
        <w:rPr>
          <w:rFonts w:cstheme="minorHAnsi"/>
          <w:sz w:val="24"/>
          <w:szCs w:val="24"/>
        </w:rPr>
        <w:t>Nyrt</w:t>
      </w:r>
      <w:proofErr w:type="spellEnd"/>
      <w:r w:rsidRPr="00023926">
        <w:rPr>
          <w:rFonts w:cstheme="minorHAnsi"/>
          <w:sz w:val="24"/>
          <w:szCs w:val="24"/>
        </w:rPr>
        <w:t>.</w:t>
      </w:r>
      <w:bookmarkEnd w:id="1"/>
      <w:r w:rsidRPr="00023926">
        <w:rPr>
          <w:rFonts w:cstheme="minorHAnsi"/>
          <w:sz w:val="24"/>
          <w:szCs w:val="24"/>
        </w:rPr>
        <w:t xml:space="preserve"> minősül.  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B20C7A">
        <w:rPr>
          <w:rFonts w:eastAsia="Times New Roman"/>
          <w:b/>
          <w:color w:val="213768"/>
          <w:sz w:val="24"/>
          <w:szCs w:val="24"/>
          <w:lang w:eastAsia="hu-HU"/>
        </w:rPr>
        <w:t>ADAT</w:t>
      </w:r>
      <w:r w:rsidR="0090146B">
        <w:rPr>
          <w:rFonts w:eastAsia="Times New Roman"/>
          <w:b/>
          <w:color w:val="213768"/>
          <w:sz w:val="24"/>
          <w:szCs w:val="24"/>
          <w:lang w:eastAsia="hu-HU"/>
        </w:rPr>
        <w:t>továbbítások</w:t>
      </w:r>
    </w:p>
    <w:p w:rsidR="00B20C7A" w:rsidRDefault="00B20C7A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 xml:space="preserve">Az adatkezelés Címzettjei lehetnek olyan harmadik személy adatfeldolgozók, </w:t>
      </w:r>
      <w:proofErr w:type="gramStart"/>
      <w:r w:rsidRPr="00B20C7A">
        <w:rPr>
          <w:rFonts w:cstheme="minorHAnsi"/>
          <w:sz w:val="24"/>
          <w:szCs w:val="24"/>
        </w:rPr>
        <w:t>akik</w:t>
      </w:r>
      <w:proofErr w:type="gramEnd"/>
      <w:r w:rsidRPr="00B20C7A">
        <w:rPr>
          <w:rFonts w:cstheme="minorHAnsi"/>
          <w:sz w:val="24"/>
          <w:szCs w:val="24"/>
        </w:rPr>
        <w:t xml:space="preserve"> vagy amelyek a Bankkal kötött szerződés alapján a Bank nevében és általa meghatározott konkrét célból kezelik a személyes adatokat. A Bank kizárólag olyan adatfeldolgozókat vesz igénybe, </w:t>
      </w:r>
      <w:proofErr w:type="gramStart"/>
      <w:r w:rsidRPr="00B20C7A">
        <w:rPr>
          <w:rFonts w:cstheme="minorHAnsi"/>
          <w:sz w:val="24"/>
          <w:szCs w:val="24"/>
        </w:rPr>
        <w:t>aki</w:t>
      </w:r>
      <w:proofErr w:type="gramEnd"/>
      <w:r w:rsidRPr="00B20C7A">
        <w:rPr>
          <w:rFonts w:cstheme="minorHAnsi"/>
          <w:sz w:val="24"/>
          <w:szCs w:val="24"/>
        </w:rPr>
        <w:t xml:space="preserve"> vagy amely megfelelő garanciákat nyújt a személyes adatok védelmére vonatkozóan. Az adatkezelésben részt vevő adatfeldolgozókról az Érintettek hozzáférési joguk gyakorlása keretében kérhetnek tájékoztatást.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3E3C25" w:rsidRPr="0090146B" w:rsidRDefault="003E3C25" w:rsidP="003E3C25">
      <w:pPr>
        <w:jc w:val="both"/>
        <w:rPr>
          <w:rFonts w:cs="Arial"/>
          <w:sz w:val="24"/>
          <w:szCs w:val="24"/>
        </w:rPr>
      </w:pPr>
      <w:r w:rsidRPr="0090146B">
        <w:rPr>
          <w:rFonts w:cs="Arial"/>
          <w:sz w:val="24"/>
          <w:szCs w:val="24"/>
        </w:rPr>
        <w:t xml:space="preserve">A személyes adatok </w:t>
      </w:r>
      <w:proofErr w:type="spellStart"/>
      <w:r w:rsidRPr="0090146B">
        <w:rPr>
          <w:rFonts w:cs="Arial"/>
          <w:sz w:val="24"/>
          <w:szCs w:val="24"/>
        </w:rPr>
        <w:t>Bszt</w:t>
      </w:r>
      <w:proofErr w:type="spellEnd"/>
      <w:r w:rsidRPr="0090146B">
        <w:rPr>
          <w:rFonts w:cs="Arial"/>
          <w:sz w:val="24"/>
          <w:szCs w:val="24"/>
        </w:rPr>
        <w:t>. szerinti értékpapírtitoknak, a pénzforgalmi szolgáltatás nyújtásáról szóló 2009. évi LXXXV. törvény (</w:t>
      </w:r>
      <w:r w:rsidRPr="0090146B">
        <w:rPr>
          <w:rFonts w:cs="Arial"/>
          <w:bCs/>
          <w:sz w:val="24"/>
          <w:szCs w:val="24"/>
        </w:rPr>
        <w:t>a továbbiakban:</w:t>
      </w:r>
      <w:r w:rsidRPr="0090146B">
        <w:rPr>
          <w:rFonts w:cs="Arial"/>
          <w:sz w:val="24"/>
          <w:szCs w:val="24"/>
        </w:rPr>
        <w:t xml:space="preserve"> „</w:t>
      </w:r>
      <w:proofErr w:type="spellStart"/>
      <w:r w:rsidRPr="0090146B">
        <w:rPr>
          <w:rFonts w:cs="Arial"/>
          <w:b/>
          <w:sz w:val="24"/>
          <w:szCs w:val="24"/>
        </w:rPr>
        <w:t>Pft</w:t>
      </w:r>
      <w:proofErr w:type="spellEnd"/>
      <w:r w:rsidRPr="0090146B">
        <w:rPr>
          <w:rFonts w:cs="Arial"/>
          <w:sz w:val="24"/>
          <w:szCs w:val="24"/>
        </w:rPr>
        <w:t xml:space="preserve">.”), illetve </w:t>
      </w:r>
      <w:bookmarkStart w:id="2" w:name="_Hlk504121761"/>
      <w:r w:rsidRPr="0090146B">
        <w:rPr>
          <w:rFonts w:cs="Arial"/>
          <w:sz w:val="24"/>
          <w:szCs w:val="24"/>
        </w:rPr>
        <w:t>az egyes fizetési szolgáltatókról szóló 2013. évi CCXXXV. törvény (</w:t>
      </w:r>
      <w:r w:rsidRPr="0090146B">
        <w:rPr>
          <w:rFonts w:cs="Arial"/>
          <w:bCs/>
          <w:sz w:val="24"/>
          <w:szCs w:val="24"/>
        </w:rPr>
        <w:t>a továbbiakban:</w:t>
      </w:r>
      <w:r w:rsidRPr="0090146B">
        <w:rPr>
          <w:rFonts w:cs="Arial"/>
          <w:sz w:val="24"/>
          <w:szCs w:val="24"/>
        </w:rPr>
        <w:t xml:space="preserve"> „</w:t>
      </w:r>
      <w:proofErr w:type="spellStart"/>
      <w:r w:rsidRPr="0090146B">
        <w:rPr>
          <w:rFonts w:cs="Arial"/>
          <w:b/>
          <w:sz w:val="24"/>
          <w:szCs w:val="24"/>
        </w:rPr>
        <w:t>Fsztv</w:t>
      </w:r>
      <w:proofErr w:type="spellEnd"/>
      <w:r w:rsidRPr="0090146B">
        <w:rPr>
          <w:rFonts w:cs="Arial"/>
          <w:sz w:val="24"/>
          <w:szCs w:val="24"/>
        </w:rPr>
        <w:t>.”)</w:t>
      </w:r>
      <w:bookmarkEnd w:id="2"/>
      <w:r w:rsidRPr="0090146B">
        <w:rPr>
          <w:rFonts w:cs="Arial"/>
          <w:sz w:val="24"/>
          <w:szCs w:val="24"/>
        </w:rPr>
        <w:t xml:space="preserve"> szerinti fizetési titoknak is minősülnek. Ezen adatok továbbítására, átadására a </w:t>
      </w:r>
      <w:proofErr w:type="spellStart"/>
      <w:r w:rsidRPr="0090146B">
        <w:rPr>
          <w:rFonts w:cs="Arial"/>
          <w:sz w:val="24"/>
          <w:szCs w:val="24"/>
        </w:rPr>
        <w:t>Bszt</w:t>
      </w:r>
      <w:proofErr w:type="spellEnd"/>
      <w:proofErr w:type="gramStart"/>
      <w:r w:rsidRPr="0090146B">
        <w:rPr>
          <w:rFonts w:cs="Arial"/>
          <w:sz w:val="24"/>
          <w:szCs w:val="24"/>
        </w:rPr>
        <w:t>.,</w:t>
      </w:r>
      <w:proofErr w:type="gramEnd"/>
      <w:r w:rsidRPr="0090146B">
        <w:rPr>
          <w:rFonts w:cs="Arial"/>
          <w:sz w:val="24"/>
          <w:szCs w:val="24"/>
        </w:rPr>
        <w:t xml:space="preserve"> a </w:t>
      </w:r>
      <w:proofErr w:type="spellStart"/>
      <w:r w:rsidRPr="0090146B">
        <w:rPr>
          <w:rFonts w:cs="Arial"/>
          <w:sz w:val="24"/>
          <w:szCs w:val="24"/>
        </w:rPr>
        <w:t>Pft</w:t>
      </w:r>
      <w:proofErr w:type="spellEnd"/>
      <w:r w:rsidRPr="0090146B">
        <w:rPr>
          <w:rFonts w:cs="Arial"/>
          <w:sz w:val="24"/>
          <w:szCs w:val="24"/>
        </w:rPr>
        <w:t xml:space="preserve">. és az </w:t>
      </w:r>
      <w:proofErr w:type="spellStart"/>
      <w:r w:rsidRPr="0090146B">
        <w:rPr>
          <w:rFonts w:cs="Arial"/>
          <w:sz w:val="24"/>
          <w:szCs w:val="24"/>
        </w:rPr>
        <w:t>Fsztv</w:t>
      </w:r>
      <w:proofErr w:type="spellEnd"/>
      <w:r w:rsidRPr="0090146B">
        <w:rPr>
          <w:rFonts w:cs="Arial"/>
          <w:sz w:val="24"/>
          <w:szCs w:val="24"/>
        </w:rPr>
        <w:t xml:space="preserve">. rendelkezései alkalmazandók. </w:t>
      </w:r>
    </w:p>
    <w:p w:rsidR="003E3C25" w:rsidRPr="0090146B" w:rsidRDefault="003E3C25" w:rsidP="003E3C25">
      <w:pPr>
        <w:jc w:val="both"/>
        <w:rPr>
          <w:rFonts w:cs="Arial"/>
          <w:sz w:val="24"/>
          <w:szCs w:val="24"/>
        </w:rPr>
      </w:pPr>
      <w:r w:rsidRPr="0090146B">
        <w:rPr>
          <w:rFonts w:cs="Arial"/>
          <w:sz w:val="24"/>
          <w:szCs w:val="24"/>
        </w:rPr>
        <w:t xml:space="preserve">Az értékpapír -, illetve fizetési titoknak minősülő adatokat a Bank – az ügyfél hozzájárulása kivételével – csak a vonatkozó jogszabályokban meghatározott esetekben továbbítja harmadik személynek. </w:t>
      </w:r>
    </w:p>
    <w:p w:rsidR="003E3C25" w:rsidRPr="0090146B" w:rsidRDefault="003E3C25" w:rsidP="003E3C25">
      <w:pPr>
        <w:jc w:val="both"/>
        <w:rPr>
          <w:rFonts w:cs="Arial"/>
          <w:sz w:val="24"/>
          <w:szCs w:val="24"/>
        </w:rPr>
      </w:pPr>
      <w:r w:rsidRPr="0090146B">
        <w:rPr>
          <w:rFonts w:cs="Arial"/>
          <w:sz w:val="24"/>
          <w:szCs w:val="24"/>
        </w:rPr>
        <w:t>Ezen adattovábbítások, adatátadások részben adatszolgáltatással (felügyeleti hatóság, Magyar Nemzeti Bank, stb.) kapcsolatosak, másrészt hatósági és egyéb megkeresések (bíróság, közjegyző stb.) alapján, illetve az összevont alapú felügyeletből eredően (Hpt. 164. § k) pont) vagy ellenőrzési jog gyakorlásával kapcsolatosan (pl. adóhatósági ellenőrzés) történnek.</w:t>
      </w:r>
    </w:p>
    <w:p w:rsidR="003E3C25" w:rsidRPr="0090146B" w:rsidRDefault="003E3C25" w:rsidP="003E3C25">
      <w:pPr>
        <w:jc w:val="both"/>
        <w:rPr>
          <w:rFonts w:cs="Arial"/>
          <w:sz w:val="24"/>
          <w:szCs w:val="24"/>
        </w:rPr>
      </w:pPr>
      <w:r w:rsidRPr="0090146B">
        <w:rPr>
          <w:rFonts w:cs="Arial"/>
          <w:sz w:val="24"/>
          <w:szCs w:val="24"/>
        </w:rPr>
        <w:t xml:space="preserve">A Bank a termék, szolgáltatás nyújtása, illetve igénybevétele során rendelkezésre bocsátott, illetve rendelkezésére álló adatokat harmadik országba vagy nemzetközi szervezet részére kizárólag jogszabályban meghatározott esetben továbbítja. 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b/>
          <w:sz w:val="24"/>
          <w:szCs w:val="24"/>
        </w:rPr>
      </w:pPr>
    </w:p>
    <w:p w:rsidR="002C721B" w:rsidRPr="00962BB2" w:rsidRDefault="002C721B" w:rsidP="00962BB2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962BB2">
        <w:rPr>
          <w:rFonts w:eastAsia="Times New Roman"/>
          <w:b/>
          <w:color w:val="213768"/>
          <w:sz w:val="24"/>
          <w:szCs w:val="24"/>
          <w:lang w:eastAsia="hu-HU"/>
        </w:rPr>
        <w:t>AUTOMATIZ</w:t>
      </w:r>
      <w:r w:rsidR="00016C79" w:rsidRPr="00962BB2">
        <w:rPr>
          <w:rFonts w:eastAsia="Times New Roman"/>
          <w:b/>
          <w:color w:val="213768"/>
          <w:sz w:val="24"/>
          <w:szCs w:val="24"/>
          <w:lang w:eastAsia="hu-HU"/>
        </w:rPr>
        <w:t>ÁLT DÖNTÉSHOZATAL, PROFILALKOTÁs</w:t>
      </w:r>
    </w:p>
    <w:p w:rsidR="00962BB2" w:rsidRDefault="00962BB2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90146B" w:rsidRPr="0090146B" w:rsidRDefault="0090146B" w:rsidP="0090146B">
      <w:pPr>
        <w:jc w:val="both"/>
        <w:rPr>
          <w:rFonts w:cs="Arial"/>
          <w:sz w:val="24"/>
          <w:szCs w:val="24"/>
        </w:rPr>
      </w:pPr>
      <w:r w:rsidRPr="0090146B">
        <w:rPr>
          <w:rFonts w:cs="Arial"/>
          <w:sz w:val="24"/>
          <w:szCs w:val="24"/>
        </w:rPr>
        <w:t>Tájékoztatjuk, hogy a Bank nem hoz kizárólag automatizált adatkezelésen alapuló döntést Önnel kapcsolatban.</w:t>
      </w:r>
    </w:p>
    <w:p w:rsidR="0090146B" w:rsidRPr="0090146B" w:rsidRDefault="0090146B" w:rsidP="0090146B">
      <w:pPr>
        <w:spacing w:before="0" w:after="0" w:line="240" w:lineRule="auto"/>
        <w:jc w:val="both"/>
        <w:rPr>
          <w:rFonts w:cs="Arial"/>
          <w:sz w:val="24"/>
          <w:szCs w:val="24"/>
        </w:rPr>
      </w:pPr>
      <w:r w:rsidRPr="0090146B">
        <w:rPr>
          <w:rFonts w:cs="Arial"/>
          <w:sz w:val="24"/>
          <w:szCs w:val="24"/>
        </w:rPr>
        <w:t xml:space="preserve">A termékek, szolgáltatások nyújtásával összefüggésben kezelt adatok alapján a Bank profilalkotást végez csalások megelőzése, igényelt/igénybe vett termékek, szolgáltatások szerinti költségek és díjak </w:t>
      </w:r>
      <w:r w:rsidRPr="0090146B">
        <w:rPr>
          <w:rFonts w:cs="Arial"/>
          <w:sz w:val="24"/>
          <w:szCs w:val="24"/>
        </w:rPr>
        <w:lastRenderedPageBreak/>
        <w:t xml:space="preserve">elszámolása, kedvezmények nyújtása, egyedi ajánlatok előkészítése és a </w:t>
      </w:r>
      <w:proofErr w:type="spellStart"/>
      <w:r w:rsidRPr="0090146B">
        <w:rPr>
          <w:rFonts w:cs="Arial"/>
          <w:sz w:val="24"/>
          <w:szCs w:val="24"/>
        </w:rPr>
        <w:t>Pmt</w:t>
      </w:r>
      <w:proofErr w:type="spellEnd"/>
      <w:r w:rsidRPr="0090146B">
        <w:rPr>
          <w:rFonts w:cs="Arial"/>
          <w:sz w:val="24"/>
          <w:szCs w:val="24"/>
        </w:rPr>
        <w:t>. szerinti kötelezettségei teljesítése érdekében.</w:t>
      </w:r>
    </w:p>
    <w:p w:rsidR="0090146B" w:rsidRPr="00B20C7A" w:rsidRDefault="0090146B" w:rsidP="0090146B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962BB2" w:rsidRDefault="002C721B" w:rsidP="00962BB2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962BB2">
        <w:rPr>
          <w:rFonts w:eastAsia="Times New Roman"/>
          <w:b/>
          <w:color w:val="213768"/>
          <w:sz w:val="24"/>
          <w:szCs w:val="24"/>
          <w:lang w:eastAsia="hu-HU"/>
        </w:rPr>
        <w:t>ÉRINTETTI JOGOK</w:t>
      </w:r>
    </w:p>
    <w:p w:rsidR="00962BB2" w:rsidRDefault="00962BB2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>A GDPR 15-22. cikkei alapján az adatkezelés Érintettje jogosult: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a személyes adataihoz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hozzáférést </w:t>
      </w:r>
      <w:r w:rsidRPr="00B20C7A">
        <w:rPr>
          <w:rFonts w:eastAsia="Times New Roman" w:cstheme="minorHAnsi"/>
          <w:sz w:val="24"/>
          <w:szCs w:val="24"/>
        </w:rPr>
        <w:t>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a személyes adatai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helyesbítését </w:t>
      </w:r>
      <w:r w:rsidRPr="00B20C7A">
        <w:rPr>
          <w:rFonts w:eastAsia="Times New Roman" w:cstheme="minorHAnsi"/>
          <w:sz w:val="24"/>
          <w:szCs w:val="24"/>
        </w:rPr>
        <w:t>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a személyes adatai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törlését </w:t>
      </w:r>
      <w:r w:rsidRPr="00B20C7A">
        <w:rPr>
          <w:rFonts w:eastAsia="Times New Roman" w:cstheme="minorHAnsi"/>
          <w:sz w:val="24"/>
          <w:szCs w:val="24"/>
        </w:rPr>
        <w:t>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a személyes adatai kezelésének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korlátozását </w:t>
      </w:r>
      <w:r w:rsidRPr="00B20C7A">
        <w:rPr>
          <w:rFonts w:eastAsia="Times New Roman" w:cstheme="minorHAnsi"/>
          <w:sz w:val="24"/>
          <w:szCs w:val="24"/>
        </w:rPr>
        <w:t>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adathordozhatóság </w:t>
      </w:r>
      <w:r w:rsidRPr="00B20C7A">
        <w:rPr>
          <w:rFonts w:eastAsia="Times New Roman" w:cstheme="minorHAnsi"/>
          <w:sz w:val="24"/>
          <w:szCs w:val="24"/>
        </w:rPr>
        <w:t>biztosítását kérni;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 xml:space="preserve">tiltakozni </w:t>
      </w:r>
      <w:r w:rsidRPr="00B20C7A">
        <w:rPr>
          <w:rFonts w:eastAsia="Times New Roman" w:cstheme="minorHAnsi"/>
          <w:sz w:val="24"/>
          <w:szCs w:val="24"/>
        </w:rPr>
        <w:t>a személyes adatainak a Bank jogos érdekén alapuló kezelése ellen; illetve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 xml:space="preserve">kérni, hogy ne terjedjen ki rá a kizárólag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>automatizált adatkezelés</w:t>
      </w:r>
      <w:r w:rsidRPr="00B20C7A">
        <w:rPr>
          <w:rFonts w:eastAsia="Times New Roman" w:cstheme="minorHAnsi"/>
          <w:sz w:val="24"/>
          <w:szCs w:val="24"/>
        </w:rPr>
        <w:t>en alapuló döntés hatálya.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>Az Érintett a fentieken túl jogosult továbbá;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>visszavonni</w:t>
      </w:r>
      <w:r w:rsidRPr="00962BB2">
        <w:rPr>
          <w:rFonts w:eastAsia="Times New Roman" w:cstheme="minorHAnsi"/>
          <w:color w:val="8D1C6B"/>
          <w:sz w:val="24"/>
          <w:szCs w:val="24"/>
        </w:rPr>
        <w:t xml:space="preserve"> </w:t>
      </w:r>
      <w:r w:rsidRPr="00B20C7A">
        <w:rPr>
          <w:rFonts w:eastAsia="Times New Roman" w:cstheme="minorHAnsi"/>
          <w:sz w:val="24"/>
          <w:szCs w:val="24"/>
        </w:rPr>
        <w:t xml:space="preserve">az adatkezeléshez adott </w:t>
      </w:r>
      <w:r w:rsidRPr="00962BB2">
        <w:rPr>
          <w:rFonts w:eastAsia="Times New Roman" w:cstheme="minorHAnsi"/>
          <w:b/>
          <w:color w:val="8D1C6B"/>
          <w:sz w:val="24"/>
          <w:szCs w:val="24"/>
        </w:rPr>
        <w:t>hozzájárulását</w:t>
      </w:r>
      <w:r w:rsidR="00962BB2">
        <w:rPr>
          <w:rFonts w:eastAsia="Times New Roman" w:cstheme="minorHAnsi"/>
          <w:sz w:val="24"/>
          <w:szCs w:val="24"/>
        </w:rPr>
        <w:t>,</w:t>
      </w:r>
      <w:r w:rsidRPr="00B20C7A">
        <w:rPr>
          <w:rFonts w:eastAsia="Times New Roman" w:cstheme="minorHAnsi"/>
          <w:sz w:val="24"/>
          <w:szCs w:val="24"/>
        </w:rPr>
        <w:t xml:space="preserve"> ha az adatkezelés az előzetes hozzájárulásán alapult; valamint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>panaszt tenni a Banknál</w:t>
      </w:r>
      <w:r w:rsidRPr="00962BB2">
        <w:rPr>
          <w:rFonts w:eastAsia="Times New Roman" w:cstheme="minorHAnsi"/>
          <w:color w:val="8D1C6B"/>
          <w:sz w:val="24"/>
          <w:szCs w:val="24"/>
        </w:rPr>
        <w:t xml:space="preserve"> </w:t>
      </w:r>
      <w:r w:rsidRPr="00B20C7A">
        <w:rPr>
          <w:rFonts w:eastAsia="Times New Roman" w:cstheme="minorHAnsi"/>
          <w:sz w:val="24"/>
          <w:szCs w:val="24"/>
        </w:rPr>
        <w:t>az adatkezeléssel összefüggésben; illetve</w:t>
      </w:r>
    </w:p>
    <w:p w:rsidR="002C721B" w:rsidRPr="00B20C7A" w:rsidRDefault="002C721B" w:rsidP="00B20C7A">
      <w:pPr>
        <w:numPr>
          <w:ilvl w:val="0"/>
          <w:numId w:val="1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2BB2">
        <w:rPr>
          <w:rFonts w:eastAsia="Times New Roman" w:cstheme="minorHAnsi"/>
          <w:b/>
          <w:color w:val="8D1C6B"/>
          <w:sz w:val="24"/>
          <w:szCs w:val="24"/>
        </w:rPr>
        <w:t>panaszt tenni az illetékes felügyeleti hatóságnál</w:t>
      </w:r>
      <w:r w:rsidRPr="00B20C7A">
        <w:rPr>
          <w:rFonts w:eastAsia="Times New Roman" w:cstheme="minorHAnsi"/>
          <w:sz w:val="24"/>
          <w:szCs w:val="24"/>
        </w:rPr>
        <w:t>, vagy bírósághoz fordulni</w:t>
      </w:r>
      <w:r w:rsidRPr="00B20C7A">
        <w:rPr>
          <w:rFonts w:cstheme="minorHAnsi"/>
          <w:sz w:val="24"/>
          <w:szCs w:val="24"/>
        </w:rPr>
        <w:t>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0C7A">
        <w:rPr>
          <w:rFonts w:cstheme="minorHAnsi"/>
          <w:sz w:val="24"/>
          <w:szCs w:val="24"/>
        </w:rPr>
        <w:t>Az adatkezeléssel összefüggésben gyakorolható fenti jogosultságok mibenlétéről és gyakorlásuk részleteiről az Általános Adatkezelési Tájékoztató 11. pontjában olvashatók további információk.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C721B" w:rsidRPr="00310C45" w:rsidRDefault="002C721B" w:rsidP="00310C45">
      <w:pPr>
        <w:pStyle w:val="Alcm"/>
        <w:numPr>
          <w:ilvl w:val="0"/>
          <w:numId w:val="18"/>
        </w:numPr>
        <w:spacing w:after="0"/>
        <w:ind w:left="284"/>
        <w:rPr>
          <w:rFonts w:eastAsia="Times New Roman"/>
          <w:b/>
          <w:color w:val="213768"/>
          <w:sz w:val="24"/>
          <w:szCs w:val="24"/>
          <w:lang w:eastAsia="hu-HU"/>
        </w:rPr>
      </w:pPr>
      <w:r w:rsidRPr="00310C45">
        <w:rPr>
          <w:rFonts w:eastAsia="Times New Roman"/>
          <w:b/>
          <w:color w:val="213768"/>
          <w:sz w:val="24"/>
          <w:szCs w:val="24"/>
          <w:lang w:eastAsia="hu-HU"/>
        </w:rPr>
        <w:t>JOGORVOSLATI LEHETŐSÉGEK</w:t>
      </w:r>
    </w:p>
    <w:p w:rsidR="00310C45" w:rsidRDefault="00310C45" w:rsidP="00B20C7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>Az Általános Adatkezelési Tájékoztató 13. pontjában részletezettek szerint az Érintettek a Bank által végzett adatkezeléssel szemben jogosultak panaszt tenni.</w:t>
      </w:r>
      <w:r w:rsidR="00310C45">
        <w:rPr>
          <w:rFonts w:eastAsia="Times New Roman" w:cstheme="minorHAnsi"/>
          <w:sz w:val="24"/>
          <w:szCs w:val="24"/>
        </w:rPr>
        <w:t xml:space="preserve"> </w:t>
      </w:r>
      <w:r w:rsidRPr="00B20C7A">
        <w:rPr>
          <w:rFonts w:eastAsia="Times New Roman" w:cstheme="minorHAnsi"/>
          <w:sz w:val="24"/>
          <w:szCs w:val="24"/>
        </w:rPr>
        <w:t>A Bank javasolja, hogy a hatósági panasz, illetve bírósági eljárás kezdeményezése előtt az Érintett éljen a Banknál benyújtható panasz lehetőségével a panaszának gyors és hatékony elintézése érdekében.</w:t>
      </w:r>
    </w:p>
    <w:p w:rsidR="002C721B" w:rsidRPr="00B20C7A" w:rsidRDefault="002C721B" w:rsidP="00B20C7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C721B" w:rsidRPr="00B20C7A" w:rsidRDefault="002C721B" w:rsidP="00B20C7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t>Az Érintett személyes adatainak kezelésével kapcsolatban panaszt tehet a Nemzeti Adatvédelmi és Információszabadság Hatóságnál (</w:t>
      </w:r>
      <w:r w:rsidRPr="00310C45">
        <w:rPr>
          <w:rStyle w:val="Kiemels-LightBlueChar"/>
          <w:b/>
        </w:rPr>
        <w:t>NAIH</w:t>
      </w:r>
      <w:r w:rsidRPr="00B20C7A">
        <w:rPr>
          <w:rFonts w:eastAsia="Times New Roman" w:cstheme="minorHAnsi"/>
          <w:color w:val="C00000"/>
          <w:sz w:val="24"/>
          <w:szCs w:val="24"/>
        </w:rPr>
        <w:t xml:space="preserve"> </w:t>
      </w:r>
      <w:r w:rsidRPr="00B20C7A">
        <w:rPr>
          <w:rFonts w:eastAsia="Times New Roman" w:cstheme="minorHAnsi"/>
          <w:sz w:val="24"/>
          <w:szCs w:val="24"/>
        </w:rPr>
        <w:t>- 1055 Budapest, Falk Miksa utca 9-11.; postacím: 1363 Budapest, Pf.: 9</w:t>
      </w:r>
      <w:proofErr w:type="gramStart"/>
      <w:r w:rsidRPr="00B20C7A">
        <w:rPr>
          <w:rFonts w:eastAsia="Times New Roman" w:cstheme="minorHAnsi"/>
          <w:sz w:val="24"/>
          <w:szCs w:val="24"/>
        </w:rPr>
        <w:t>.;</w:t>
      </w:r>
      <w:proofErr w:type="gramEnd"/>
      <w:r w:rsidRPr="00B20C7A">
        <w:rPr>
          <w:rFonts w:eastAsia="Times New Roman" w:cstheme="minorHAnsi"/>
          <w:sz w:val="24"/>
          <w:szCs w:val="24"/>
        </w:rPr>
        <w:t xml:space="preserve"> e-mail: </w:t>
      </w:r>
      <w:hyperlink r:id="rId15" w:history="1">
        <w:r w:rsidR="00310C45" w:rsidRPr="00FE079A">
          <w:rPr>
            <w:rStyle w:val="Hiperhivatkozs"/>
            <w:rFonts w:eastAsia="Times New Roman" w:cstheme="minorHAnsi"/>
            <w:sz w:val="24"/>
            <w:szCs w:val="24"/>
          </w:rPr>
          <w:t>ugyfelszolgalat@naih.hu</w:t>
        </w:r>
      </w:hyperlink>
      <w:r w:rsidRPr="00B20C7A">
        <w:rPr>
          <w:rFonts w:eastAsia="Times New Roman" w:cstheme="minorHAnsi"/>
          <w:sz w:val="24"/>
          <w:szCs w:val="24"/>
        </w:rPr>
        <w:t xml:space="preserve">, illetve </w:t>
      </w:r>
      <w:r w:rsidRPr="00310C45">
        <w:rPr>
          <w:rStyle w:val="Kiemels-LightBlueChar"/>
          <w:b/>
        </w:rPr>
        <w:t>bírósághoz</w:t>
      </w:r>
      <w:r w:rsidRPr="00310C45">
        <w:rPr>
          <w:rFonts w:eastAsia="Times New Roman" w:cstheme="minorHAnsi"/>
          <w:b/>
          <w:color w:val="8D1C6B"/>
          <w:sz w:val="24"/>
          <w:szCs w:val="24"/>
        </w:rPr>
        <w:t xml:space="preserve"> is fordulhat</w:t>
      </w:r>
      <w:r w:rsidRPr="00B20C7A">
        <w:rPr>
          <w:rFonts w:eastAsia="Times New Roman" w:cstheme="minorHAnsi"/>
          <w:sz w:val="24"/>
          <w:szCs w:val="24"/>
        </w:rPr>
        <w:t xml:space="preserve"> a tartózkodási helye szerint illetékes törvényszéken.</w:t>
      </w:r>
    </w:p>
    <w:p w:rsidR="002C721B" w:rsidRPr="00B20C7A" w:rsidRDefault="002C721B" w:rsidP="00B20C7A">
      <w:pPr>
        <w:spacing w:before="0"/>
        <w:rPr>
          <w:rFonts w:eastAsia="Times New Roman" w:cstheme="minorHAnsi"/>
          <w:sz w:val="24"/>
          <w:szCs w:val="24"/>
        </w:rPr>
      </w:pPr>
      <w:r w:rsidRPr="00B20C7A">
        <w:rPr>
          <w:rFonts w:eastAsia="Times New Roman" w:cstheme="minorHAnsi"/>
          <w:sz w:val="24"/>
          <w:szCs w:val="24"/>
        </w:rPr>
        <w:br w:type="page"/>
      </w:r>
    </w:p>
    <w:p w:rsidR="002C721B" w:rsidRDefault="002C721B" w:rsidP="002C721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Arial"/>
          <w:sz w:val="22"/>
        </w:rPr>
        <w:sectPr w:rsidR="002C721B" w:rsidSect="002C721B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080" w:bottom="1440" w:left="1080" w:header="488" w:footer="488" w:gutter="0"/>
          <w:cols w:space="284"/>
          <w:docGrid w:linePitch="360"/>
        </w:sectPr>
      </w:pPr>
    </w:p>
    <w:p w:rsidR="002C721B" w:rsidRDefault="002C721B" w:rsidP="005A1894">
      <w:pPr>
        <w:pStyle w:val="Listaszerbekezds"/>
        <w:numPr>
          <w:ilvl w:val="0"/>
          <w:numId w:val="15"/>
        </w:numPr>
        <w:spacing w:after="0" w:line="240" w:lineRule="auto"/>
        <w:ind w:left="624"/>
        <w:jc w:val="both"/>
        <w:rPr>
          <w:rFonts w:ascii="Cambria" w:eastAsia="Times New Roman" w:hAnsi="Cambria" w:cs="Arial"/>
          <w:sz w:val="22"/>
        </w:rPr>
      </w:pPr>
      <w:r>
        <w:rPr>
          <w:rFonts w:ascii="Cambria" w:eastAsia="Times New Roman" w:hAnsi="Cambria" w:cs="Arial"/>
          <w:sz w:val="22"/>
        </w:rPr>
        <w:lastRenderedPageBreak/>
        <w:t>sz. függelék</w:t>
      </w:r>
    </w:p>
    <w:p w:rsidR="007B60D7" w:rsidRDefault="007B60D7" w:rsidP="005A1894">
      <w:pPr>
        <w:ind w:left="624"/>
        <w:rPr>
          <w:sz w:val="24"/>
          <w:szCs w:val="24"/>
        </w:rPr>
      </w:pPr>
    </w:p>
    <w:p w:rsidR="00C45F71" w:rsidRDefault="00C45F71" w:rsidP="005A1894">
      <w:pPr>
        <w:ind w:left="624"/>
        <w:rPr>
          <w:sz w:val="24"/>
          <w:szCs w:val="24"/>
        </w:rPr>
      </w:pPr>
    </w:p>
    <w:tbl>
      <w:tblPr>
        <w:tblStyle w:val="Rcsostblzat"/>
        <w:tblW w:w="150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3827"/>
        <w:gridCol w:w="2551"/>
        <w:gridCol w:w="3119"/>
      </w:tblGrid>
      <w:tr w:rsidR="005A1894" w:rsidRPr="00383B1F" w:rsidTr="005A1894">
        <w:trPr>
          <w:tblHeader/>
        </w:trPr>
        <w:tc>
          <w:tcPr>
            <w:tcW w:w="5524" w:type="dxa"/>
            <w:shd w:val="clear" w:color="auto" w:fill="E3F3F5"/>
            <w:vAlign w:val="center"/>
          </w:tcPr>
          <w:p w:rsidR="007B60D7" w:rsidRPr="00383B1F" w:rsidRDefault="007B60D7" w:rsidP="009434B7">
            <w:pPr>
              <w:spacing w:after="0"/>
              <w:jc w:val="center"/>
              <w:rPr>
                <w:rFonts w:ascii="Cambria" w:hAnsi="Cambria" w:cs="Arial"/>
                <w:b/>
                <w:color w:val="8D1C6B" w:themeColor="background1"/>
              </w:rPr>
            </w:pPr>
            <w:r w:rsidRPr="00383B1F">
              <w:rPr>
                <w:rFonts w:ascii="Cambria" w:hAnsi="Cambria" w:cs="Arial"/>
                <w:b/>
                <w:color w:val="8D1C6B" w:themeColor="background1"/>
              </w:rPr>
              <w:t>AZ ADATKEZELÉS CÉLJA</w:t>
            </w:r>
          </w:p>
        </w:tc>
        <w:tc>
          <w:tcPr>
            <w:tcW w:w="3827" w:type="dxa"/>
            <w:shd w:val="clear" w:color="auto" w:fill="E3F3F5"/>
            <w:vAlign w:val="center"/>
          </w:tcPr>
          <w:p w:rsidR="007B60D7" w:rsidRPr="00383B1F" w:rsidRDefault="007B60D7" w:rsidP="009434B7">
            <w:pPr>
              <w:spacing w:after="0"/>
              <w:jc w:val="center"/>
              <w:rPr>
                <w:rFonts w:ascii="Cambria" w:hAnsi="Cambria" w:cs="Arial"/>
                <w:b/>
                <w:color w:val="8D1C6B" w:themeColor="background1"/>
              </w:rPr>
            </w:pPr>
            <w:r w:rsidRPr="00383B1F">
              <w:rPr>
                <w:rFonts w:ascii="Cambria" w:hAnsi="Cambria" w:cs="Arial"/>
                <w:b/>
                <w:color w:val="8D1C6B" w:themeColor="background1"/>
              </w:rPr>
              <w:t>A KEZELT ADATOK, ADATKATEGÓRIÁK</w:t>
            </w:r>
          </w:p>
        </w:tc>
        <w:tc>
          <w:tcPr>
            <w:tcW w:w="2551" w:type="dxa"/>
            <w:shd w:val="clear" w:color="auto" w:fill="E3F3F5"/>
            <w:vAlign w:val="center"/>
          </w:tcPr>
          <w:p w:rsidR="007B60D7" w:rsidRPr="00383B1F" w:rsidRDefault="007B60D7" w:rsidP="009434B7">
            <w:pPr>
              <w:spacing w:after="0"/>
              <w:jc w:val="center"/>
              <w:rPr>
                <w:rFonts w:ascii="Cambria" w:hAnsi="Cambria" w:cs="Arial"/>
                <w:b/>
                <w:color w:val="8D1C6B" w:themeColor="background1"/>
              </w:rPr>
            </w:pPr>
            <w:r w:rsidRPr="00383B1F">
              <w:rPr>
                <w:rFonts w:ascii="Cambria" w:hAnsi="Cambria" w:cs="Arial"/>
                <w:b/>
                <w:color w:val="8D1C6B" w:themeColor="background1"/>
              </w:rPr>
              <w:t>AZ ADATKEZELÉS JOGALAPJA</w:t>
            </w:r>
          </w:p>
        </w:tc>
        <w:tc>
          <w:tcPr>
            <w:tcW w:w="3119" w:type="dxa"/>
            <w:shd w:val="clear" w:color="auto" w:fill="E3F3F5"/>
            <w:vAlign w:val="center"/>
          </w:tcPr>
          <w:p w:rsidR="007B60D7" w:rsidRPr="00383B1F" w:rsidRDefault="007B60D7" w:rsidP="009434B7">
            <w:pPr>
              <w:spacing w:after="0"/>
              <w:jc w:val="center"/>
              <w:rPr>
                <w:rFonts w:ascii="Cambria" w:hAnsi="Cambria" w:cs="Arial"/>
                <w:b/>
                <w:color w:val="8D1C6B" w:themeColor="background1"/>
              </w:rPr>
            </w:pPr>
            <w:r w:rsidRPr="00383B1F">
              <w:rPr>
                <w:rFonts w:ascii="Cambria" w:hAnsi="Cambria" w:cs="Arial"/>
                <w:b/>
                <w:color w:val="8D1C6B" w:themeColor="background1"/>
              </w:rPr>
              <w:t>AZ ADATOK MEGŐRZÉSÉNEK IDEJE</w:t>
            </w:r>
          </w:p>
        </w:tc>
      </w:tr>
    </w:tbl>
    <w:tbl>
      <w:tblPr>
        <w:tblStyle w:val="Rcsostblzat1"/>
        <w:tblW w:w="15021" w:type="dxa"/>
        <w:tblLook w:val="04A0" w:firstRow="1" w:lastRow="0" w:firstColumn="1" w:lastColumn="0" w:noHBand="0" w:noVBand="1"/>
      </w:tblPr>
      <w:tblGrid>
        <w:gridCol w:w="400"/>
        <w:gridCol w:w="948"/>
        <w:gridCol w:w="828"/>
        <w:gridCol w:w="3348"/>
        <w:gridCol w:w="3827"/>
        <w:gridCol w:w="2551"/>
        <w:gridCol w:w="3119"/>
      </w:tblGrid>
      <w:tr w:rsidR="0071067C" w:rsidRPr="007B60D7" w:rsidTr="005A1894">
        <w:trPr>
          <w:trHeight w:val="290"/>
        </w:trPr>
        <w:tc>
          <w:tcPr>
            <w:tcW w:w="400" w:type="dxa"/>
            <w:shd w:val="clear" w:color="auto" w:fill="auto"/>
            <w:hideMark/>
          </w:tcPr>
          <w:p w:rsidR="007B60D7" w:rsidRPr="0071067C" w:rsidRDefault="007B60D7" w:rsidP="007B60D7">
            <w:pPr>
              <w:jc w:val="both"/>
              <w:rPr>
                <w:rFonts w:ascii="Arial" w:hAnsi="Arial" w:cs="Arial"/>
                <w:b/>
                <w:color w:val="203667" w:themeColor="text2"/>
              </w:rPr>
            </w:pPr>
            <w:r w:rsidRPr="0071067C">
              <w:rPr>
                <w:rFonts w:ascii="Arial" w:hAnsi="Arial" w:cs="Arial"/>
                <w:b/>
                <w:color w:val="8D1C6B" w:themeColor="background1"/>
              </w:rPr>
              <w:t>1</w:t>
            </w:r>
            <w:r w:rsidRPr="0071067C">
              <w:rPr>
                <w:rFonts w:ascii="Arial" w:hAnsi="Arial" w:cs="Arial"/>
                <w:b/>
                <w:color w:val="203667" w:themeColor="text2"/>
              </w:rPr>
              <w:t xml:space="preserve">. </w:t>
            </w:r>
          </w:p>
        </w:tc>
        <w:tc>
          <w:tcPr>
            <w:tcW w:w="14621" w:type="dxa"/>
            <w:gridSpan w:val="6"/>
            <w:shd w:val="clear" w:color="auto" w:fill="auto"/>
            <w:hideMark/>
          </w:tcPr>
          <w:p w:rsidR="007B60D7" w:rsidRPr="005A1894" w:rsidRDefault="007B60D7" w:rsidP="007B60D7">
            <w:pPr>
              <w:jc w:val="both"/>
              <w:rPr>
                <w:rFonts w:cstheme="minorHAnsi"/>
                <w:b/>
                <w:color w:val="203667" w:themeColor="text2"/>
              </w:rPr>
            </w:pPr>
            <w:r w:rsidRPr="005A1894">
              <w:rPr>
                <w:rFonts w:cstheme="minorHAnsi"/>
                <w:b/>
                <w:color w:val="8D1C6B" w:themeColor="background1"/>
              </w:rPr>
              <w:t>Érdeklődés és ügyfélkapcsolat létesítése; vagy új szolgáltatás igénybevételére irányuló szerződési szándékkal összefüggő személyesadat-kezelés</w:t>
            </w:r>
          </w:p>
        </w:tc>
      </w:tr>
      <w:tr w:rsidR="005A1894" w:rsidRPr="0071067C" w:rsidTr="005A1894">
        <w:trPr>
          <w:trHeight w:val="240"/>
        </w:trPr>
        <w:tc>
          <w:tcPr>
            <w:tcW w:w="400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1.1.</w:t>
            </w:r>
          </w:p>
        </w:tc>
        <w:tc>
          <w:tcPr>
            <w:tcW w:w="4176" w:type="dxa"/>
            <w:gridSpan w:val="2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Kapcsolattartás</w:t>
            </w:r>
          </w:p>
        </w:tc>
        <w:tc>
          <w:tcPr>
            <w:tcW w:w="9497" w:type="dxa"/>
            <w:gridSpan w:val="3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</w:tr>
      <w:tr w:rsidR="005A1894" w:rsidRPr="0071067C" w:rsidTr="005A1894">
        <w:trPr>
          <w:trHeight w:val="76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1.1.1.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Lakossági ügyfelek, egyéni vállalkozók, őstermelők és azok meghatalmazottjai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Kapcsolattartás a szerződés </w:t>
            </w:r>
            <w:proofErr w:type="gramStart"/>
            <w:r w:rsidRPr="0071067C">
              <w:rPr>
                <w:rFonts w:cstheme="minorHAnsi"/>
              </w:rPr>
              <w:t>fennállta alatt</w:t>
            </w:r>
            <w:proofErr w:type="gramEnd"/>
            <w:r w:rsidRPr="0071067C">
              <w:rPr>
                <w:rFonts w:cstheme="minorHAnsi"/>
              </w:rPr>
              <w:t xml:space="preserve"> az ügyféllel a szerződő felek közötti együttműködés biztosítása érdekében 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 szerződés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b)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Szerződés megszűnéséig.</w:t>
            </w:r>
          </w:p>
        </w:tc>
      </w:tr>
      <w:tr w:rsidR="005A1894" w:rsidRPr="0071067C" w:rsidTr="005A1894">
        <w:trPr>
          <w:trHeight w:val="122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  <w:noWrap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1.1.2.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Kapcsolattartók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Kapcsolattartás a szerződés </w:t>
            </w:r>
            <w:proofErr w:type="gramStart"/>
            <w:r w:rsidRPr="0071067C">
              <w:rPr>
                <w:rFonts w:cstheme="minorHAnsi"/>
              </w:rPr>
              <w:t>fennállta alatt</w:t>
            </w:r>
            <w:proofErr w:type="gramEnd"/>
            <w:r w:rsidRPr="0071067C">
              <w:rPr>
                <w:rFonts w:cstheme="minorHAnsi"/>
              </w:rPr>
              <w:t xml:space="preserve"> az ügyféllel a szerződő felek közötti együttműködés biztosítása érdekében 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Adatkezelő azon jogos érdeke, hogy az ügyintézés folyamatos legyen és az ügyfél által megadott személlyel kapcsolatba tudjon lépni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f)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Szerződés megszűnéséig.</w:t>
            </w:r>
          </w:p>
        </w:tc>
      </w:tr>
      <w:tr w:rsidR="005A1894" w:rsidRPr="0071067C" w:rsidTr="005A1894">
        <w:trPr>
          <w:trHeight w:val="129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1.2.</w:t>
            </w:r>
          </w:p>
        </w:tc>
        <w:tc>
          <w:tcPr>
            <w:tcW w:w="4176" w:type="dxa"/>
            <w:gridSpan w:val="2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ügyfélkapcsolat létesítéséhez szükséges ágazati jogszabályok által előírt adatkezelés (rögzítés, ellenőrzés, lekérdezés, stb.) </w:t>
            </w:r>
          </w:p>
        </w:tc>
        <w:tc>
          <w:tcPr>
            <w:tcW w:w="9497" w:type="dxa"/>
            <w:gridSpan w:val="3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</w:tr>
      <w:tr w:rsidR="005A1894" w:rsidRPr="0071067C" w:rsidTr="005A1894">
        <w:trPr>
          <w:trHeight w:val="567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1.2.1.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 pénzmosás és a terrorizmus </w:t>
            </w:r>
            <w:proofErr w:type="gramStart"/>
            <w:r w:rsidRPr="0071067C">
              <w:rPr>
                <w:rFonts w:cstheme="minorHAnsi"/>
              </w:rPr>
              <w:t>finanszírozása</w:t>
            </w:r>
            <w:proofErr w:type="gramEnd"/>
            <w:r w:rsidRPr="0071067C">
              <w:rPr>
                <w:rFonts w:cstheme="minorHAnsi"/>
              </w:rPr>
              <w:t xml:space="preserve"> megelőzéséről és megakadályozásáról szóló 2017. évi LIII. törvény („</w:t>
            </w: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 xml:space="preserve">.”) szerinti ügyfélátvilágítási kötelezettség teljesítése (Kiemelt közszereplő, közvetlen hozzátartozó vagy közeli kapcsolatról szóló nyilatkozat, tényleges </w:t>
            </w:r>
            <w:proofErr w:type="spellStart"/>
            <w:r w:rsidRPr="0071067C">
              <w:rPr>
                <w:rFonts w:cstheme="minorHAnsi"/>
              </w:rPr>
              <w:t>tulajdonsoi</w:t>
            </w:r>
            <w:proofErr w:type="spellEnd"/>
            <w:r w:rsidRPr="0071067C">
              <w:rPr>
                <w:rFonts w:cstheme="minorHAnsi"/>
              </w:rPr>
              <w:t xml:space="preserve"> nyilatkozat) 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>. 7-14/</w:t>
            </w:r>
            <w:proofErr w:type="gramStart"/>
            <w:r w:rsidRPr="0071067C">
              <w:rPr>
                <w:rFonts w:cstheme="minorHAnsi"/>
              </w:rPr>
              <w:t>A.</w:t>
            </w:r>
            <w:proofErr w:type="gramEnd"/>
            <w:r w:rsidRPr="0071067C">
              <w:rPr>
                <w:rFonts w:cstheme="minorHAnsi"/>
              </w:rPr>
              <w:t xml:space="preserve"> §-</w:t>
            </w:r>
            <w:proofErr w:type="spellStart"/>
            <w:r w:rsidRPr="0071067C">
              <w:rPr>
                <w:rFonts w:cstheme="minorHAnsi"/>
              </w:rPr>
              <w:t>ben</w:t>
            </w:r>
            <w:proofErr w:type="spellEnd"/>
            <w:r w:rsidRPr="0071067C">
              <w:rPr>
                <w:rFonts w:cstheme="minorHAnsi"/>
              </w:rPr>
              <w:t xml:space="preserve"> meghatározott adatok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üzleti kapcsolat megszűnésétől, illetve az ügyleti megbízás teljesítésétől számított </w:t>
            </w: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>. szerinti 8 (</w:t>
            </w: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>.-</w:t>
            </w:r>
            <w:proofErr w:type="spellStart"/>
            <w:r w:rsidRPr="0071067C">
              <w:rPr>
                <w:rFonts w:cstheme="minorHAnsi"/>
              </w:rPr>
              <w:t>ben</w:t>
            </w:r>
            <w:proofErr w:type="spellEnd"/>
            <w:r w:rsidRPr="0071067C">
              <w:rPr>
                <w:rFonts w:cstheme="minorHAnsi"/>
              </w:rPr>
              <w:t xml:space="preserve"> meghatározott esetekben 10) év</w:t>
            </w:r>
          </w:p>
        </w:tc>
      </w:tr>
      <w:tr w:rsidR="005A1894" w:rsidRPr="0071067C" w:rsidTr="005A1894">
        <w:trPr>
          <w:trHeight w:val="112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1.2.2.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</w:t>
            </w:r>
            <w:r w:rsidR="005A1894">
              <w:rPr>
                <w:rFonts w:cstheme="minorHAnsi"/>
              </w:rPr>
              <w:t xml:space="preserve"> </w:t>
            </w:r>
            <w:r w:rsidRPr="0071067C">
              <w:rPr>
                <w:rFonts w:cstheme="minorHAnsi"/>
              </w:rPr>
              <w:t>FATCA-törvényben meghatározott ügyfél-átvilágításhoz szükséges nyilatkozatok beszerzése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 2014. évi XIX. törvény (FATCA-tv.) 2. cikk 1-2. pontjában meghatározott adatok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 xml:space="preserve">. c) pont) 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üzleti kapcsolat megszűnésétől, illetve az ügyleti megbízás teljesítésétől számított </w:t>
            </w: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 xml:space="preserve">. szerinti 8 év. </w:t>
            </w: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>.-</w:t>
            </w:r>
            <w:proofErr w:type="spellStart"/>
            <w:r w:rsidRPr="0071067C">
              <w:rPr>
                <w:rFonts w:cstheme="minorHAnsi"/>
              </w:rPr>
              <w:t>ben</w:t>
            </w:r>
            <w:proofErr w:type="spellEnd"/>
            <w:r w:rsidRPr="0071067C">
              <w:rPr>
                <w:rFonts w:cstheme="minorHAnsi"/>
              </w:rPr>
              <w:t xml:space="preserve"> meghatározott esetekben 10</w:t>
            </w:r>
          </w:p>
        </w:tc>
      </w:tr>
      <w:tr w:rsidR="005A1894" w:rsidRPr="0071067C" w:rsidTr="005A1894">
        <w:trPr>
          <w:trHeight w:val="76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1.2.</w:t>
            </w:r>
            <w:r w:rsidR="00F55F31">
              <w:rPr>
                <w:rFonts w:cstheme="minorHAnsi"/>
              </w:rPr>
              <w:t>3</w:t>
            </w:r>
            <w:r w:rsidRPr="0071067C">
              <w:rPr>
                <w:rFonts w:cstheme="minorHAnsi"/>
              </w:rPr>
              <w:t>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Az érintett hitelképességének ellenőrzése KHR lekérdezésen keresztül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 KHR tv. melléklete II. fejezetének 1.2 pont h)-j) szerinti adatok (2011. évi CXXII. törvény 5. § (7)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b) pont))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érintett hozzájárulása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a)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 hozzájárulás visszavonásáig, de legkésőbb a szerződés megszűnéséig.</w:t>
            </w:r>
          </w:p>
        </w:tc>
      </w:tr>
      <w:tr w:rsidR="005A1894" w:rsidRPr="0071067C" w:rsidTr="005A1894">
        <w:trPr>
          <w:trHeight w:val="111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1.2.</w:t>
            </w:r>
            <w:r w:rsidR="00F55F31">
              <w:rPr>
                <w:rFonts w:cstheme="minorHAnsi"/>
              </w:rPr>
              <w:t>4</w:t>
            </w:r>
            <w:r w:rsidRPr="0071067C">
              <w:rPr>
                <w:rFonts w:cstheme="minorHAnsi"/>
              </w:rPr>
              <w:t>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Bizonyos szolgáltatások igénybevételére irányuló szerződés megkötését megelőzően Potenciális vagy meglévő ügyfél pénzügyi ismereteinek felmérése az ügyfél számára megfelelő szolgáltatás nyújtása céljából. (Lásd alább: 2.6. pont)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proofErr w:type="spellStart"/>
            <w:r w:rsidRPr="0071067C">
              <w:rPr>
                <w:rFonts w:cstheme="minorHAnsi"/>
              </w:rPr>
              <w:t>MiFID</w:t>
            </w:r>
            <w:proofErr w:type="spellEnd"/>
            <w:r w:rsidRPr="0071067C">
              <w:rPr>
                <w:rFonts w:cstheme="minorHAnsi"/>
              </w:rPr>
              <w:t xml:space="preserve"> tesztben megadott személyes adatok (pl. termékek, piac ismeret, kockázatviselés, jövedelmi helyzet).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</w:t>
            </w:r>
          </w:p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proofErr w:type="spellStart"/>
            <w:r w:rsidRPr="0071067C">
              <w:rPr>
                <w:rFonts w:cstheme="minorHAnsi"/>
              </w:rPr>
              <w:t>Bszt</w:t>
            </w:r>
            <w:proofErr w:type="spellEnd"/>
            <w:r w:rsidRPr="0071067C">
              <w:rPr>
                <w:rFonts w:cstheme="minorHAnsi"/>
              </w:rPr>
              <w:t>. 44. § és 45. §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>.-</w:t>
            </w:r>
            <w:proofErr w:type="spellStart"/>
            <w:r w:rsidRPr="0071067C">
              <w:rPr>
                <w:rFonts w:cstheme="minorHAnsi"/>
              </w:rPr>
              <w:t>ben</w:t>
            </w:r>
            <w:proofErr w:type="spellEnd"/>
            <w:r w:rsidRPr="0071067C">
              <w:rPr>
                <w:rFonts w:cstheme="minorHAnsi"/>
              </w:rPr>
              <w:t xml:space="preserve"> meghatározott esetekben 10</w:t>
            </w:r>
          </w:p>
        </w:tc>
      </w:tr>
      <w:tr w:rsidR="005A1894" w:rsidRPr="0071067C" w:rsidTr="005A1894">
        <w:trPr>
          <w:trHeight w:val="262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hideMark/>
          </w:tcPr>
          <w:p w:rsidR="007B60D7" w:rsidRPr="00860322" w:rsidRDefault="007B60D7" w:rsidP="007B60D7">
            <w:pPr>
              <w:jc w:val="both"/>
              <w:rPr>
                <w:rFonts w:cstheme="minorHAnsi"/>
                <w:b/>
                <w:color w:val="8D1C6B" w:themeColor="background1"/>
              </w:rPr>
            </w:pPr>
            <w:r w:rsidRPr="00860322">
              <w:rPr>
                <w:rFonts w:cstheme="minorHAnsi"/>
                <w:b/>
                <w:color w:val="8D1C6B" w:themeColor="background1"/>
              </w:rPr>
              <w:t>1.3.</w:t>
            </w:r>
          </w:p>
        </w:tc>
        <w:tc>
          <w:tcPr>
            <w:tcW w:w="4176" w:type="dxa"/>
            <w:gridSpan w:val="2"/>
            <w:hideMark/>
          </w:tcPr>
          <w:p w:rsidR="007B60D7" w:rsidRPr="00860322" w:rsidRDefault="007B60D7" w:rsidP="007B60D7">
            <w:pPr>
              <w:jc w:val="both"/>
              <w:rPr>
                <w:rFonts w:cstheme="minorHAnsi"/>
                <w:b/>
                <w:color w:val="8D1C6B" w:themeColor="background1"/>
              </w:rPr>
            </w:pPr>
            <w:r w:rsidRPr="00860322">
              <w:rPr>
                <w:rFonts w:cstheme="minorHAnsi"/>
                <w:b/>
                <w:color w:val="8D1C6B" w:themeColor="background1"/>
              </w:rPr>
              <w:t>Szerződés megkötése és teljesítése</w:t>
            </w:r>
          </w:p>
        </w:tc>
        <w:tc>
          <w:tcPr>
            <w:tcW w:w="9497" w:type="dxa"/>
            <w:gridSpan w:val="3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</w:tr>
      <w:tr w:rsidR="005A1894" w:rsidRPr="0071067C" w:rsidTr="005A1894">
        <w:trPr>
          <w:trHeight w:val="214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1.3.1.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Ügyfélkapcsolat létesítésének szerződésbe foglalása a mindenkori üzleti szabályzat szerinti feltételek mellett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ügyfél személyes adatainak rögzítése és a szerződés megkötésének feltételeként fentebb felsorolt nyilatkozatok kötelező tartalma; a nyilatkozatok keltezése, aláírás, a szerződés tárgya, általános vagy egyedi </w:t>
            </w:r>
            <w:proofErr w:type="gramStart"/>
            <w:r w:rsidRPr="0071067C">
              <w:rPr>
                <w:rFonts w:cstheme="minorHAnsi"/>
              </w:rPr>
              <w:t>kondíciói</w:t>
            </w:r>
            <w:proofErr w:type="gramEnd"/>
            <w:r w:rsidRPr="0071067C">
              <w:rPr>
                <w:rFonts w:cstheme="minorHAnsi"/>
              </w:rPr>
              <w:t xml:space="preserve">. 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Szerződés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b)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Főszabály szerint a jogviszony megszűnésétől számított Polgári Törvénykönyvről szóló 2013. évi V. törvény szerinti ún. általános elévülési időig (5 év), kivéve azokat a nyilatkozatokat és </w:t>
            </w:r>
            <w:proofErr w:type="gramStart"/>
            <w:r w:rsidRPr="0071067C">
              <w:rPr>
                <w:rFonts w:cstheme="minorHAnsi"/>
              </w:rPr>
              <w:t>dokumentumokat</w:t>
            </w:r>
            <w:proofErr w:type="gramEnd"/>
            <w:r w:rsidRPr="0071067C">
              <w:rPr>
                <w:rFonts w:cstheme="minorHAnsi"/>
              </w:rPr>
              <w:t xml:space="preserve">, amelyek tárolására az Adatkezelőt jogszabály hosszabb megőrzési idő megállapításával kötelezi. </w:t>
            </w:r>
          </w:p>
        </w:tc>
      </w:tr>
      <w:tr w:rsidR="005A1894" w:rsidRPr="0071067C" w:rsidTr="005A1894">
        <w:trPr>
          <w:trHeight w:val="111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1.3.2.</w:t>
            </w:r>
          </w:p>
        </w:tc>
        <w:tc>
          <w:tcPr>
            <w:tcW w:w="3348" w:type="dxa"/>
            <w:hideMark/>
          </w:tcPr>
          <w:p w:rsidR="007B60D7" w:rsidRPr="0071067C" w:rsidRDefault="007B60D7" w:rsidP="005A1894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Kapcsolódó szolgáltatások teljesítése 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Személyazonosító adatok; egyéni azonosítók és kódok.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Szerződés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b)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 kapcsolódó szolgáltatási szerződés megszűnésig.</w:t>
            </w:r>
          </w:p>
        </w:tc>
      </w:tr>
      <w:tr w:rsidR="0071067C" w:rsidRPr="0071067C" w:rsidTr="005A1894">
        <w:trPr>
          <w:trHeight w:val="380"/>
        </w:trPr>
        <w:tc>
          <w:tcPr>
            <w:tcW w:w="400" w:type="dxa"/>
            <w:shd w:val="clear" w:color="auto" w:fill="auto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  <w:b/>
                <w:color w:val="8D1C6B" w:themeColor="background1"/>
              </w:rPr>
            </w:pPr>
            <w:r w:rsidRPr="0071067C">
              <w:rPr>
                <w:rFonts w:cstheme="minorHAnsi"/>
                <w:b/>
                <w:color w:val="8D1C6B" w:themeColor="background1"/>
              </w:rPr>
              <w:t>2.</w:t>
            </w:r>
          </w:p>
        </w:tc>
        <w:tc>
          <w:tcPr>
            <w:tcW w:w="14621" w:type="dxa"/>
            <w:gridSpan w:val="6"/>
            <w:shd w:val="clear" w:color="auto" w:fill="auto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  <w:b/>
                <w:color w:val="8D1C6B" w:themeColor="background1"/>
              </w:rPr>
            </w:pPr>
            <w:r w:rsidRPr="0071067C">
              <w:rPr>
                <w:rFonts w:cstheme="minorHAnsi"/>
                <w:b/>
                <w:color w:val="8D1C6B" w:themeColor="background1"/>
              </w:rPr>
              <w:t>Szerződés fennállása alatt személyes adatok kezeléssel járó tevékenységek és céljaik</w:t>
            </w:r>
          </w:p>
        </w:tc>
      </w:tr>
      <w:tr w:rsidR="005A1894" w:rsidRPr="0071067C" w:rsidTr="005A1894">
        <w:trPr>
          <w:trHeight w:val="1275"/>
        </w:trPr>
        <w:tc>
          <w:tcPr>
            <w:tcW w:w="400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F55F31">
              <w:rPr>
                <w:rFonts w:cstheme="minorHAnsi"/>
              </w:rPr>
              <w:t>1</w:t>
            </w:r>
            <w:r w:rsidRPr="0071067C">
              <w:rPr>
                <w:rFonts w:cstheme="minorHAnsi"/>
              </w:rPr>
              <w:t>.</w:t>
            </w:r>
          </w:p>
        </w:tc>
        <w:tc>
          <w:tcPr>
            <w:tcW w:w="4176" w:type="dxa"/>
            <w:gridSpan w:val="2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Ágazati jogszabályokban és Felügyelet (MNB) által elvárt ügyfél-monitoring és adatszolgáltatási kötelezettség teljesítése a szerződés fennállása alatt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</w:tr>
      <w:tr w:rsidR="005A1894" w:rsidRPr="0071067C" w:rsidTr="005A1894">
        <w:trPr>
          <w:trHeight w:val="111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F55F31">
              <w:rPr>
                <w:rFonts w:cstheme="minorHAnsi"/>
              </w:rPr>
              <w:t>1</w:t>
            </w:r>
            <w:r w:rsidRPr="0071067C">
              <w:rPr>
                <w:rFonts w:cstheme="minorHAnsi"/>
              </w:rPr>
              <w:t>.1.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FATCA kapcsolódó kiegészítő nyilatkoztatás (W-9, W-8BEN, W-8IMY, 8233, W-4, W-8ECI) teljesítése, érintettség megállapítása és jelentése 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2014. évi XIX. törvény (FATCA-tv.) meghatározott adatok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 szerződés megszűnéséig</w:t>
            </w:r>
          </w:p>
        </w:tc>
      </w:tr>
      <w:tr w:rsidR="005A1894" w:rsidRPr="0071067C" w:rsidTr="005A1894">
        <w:trPr>
          <w:trHeight w:val="111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F55F31">
              <w:rPr>
                <w:rFonts w:cstheme="minorHAnsi"/>
              </w:rPr>
              <w:t>1</w:t>
            </w:r>
            <w:r w:rsidRPr="0071067C">
              <w:rPr>
                <w:rFonts w:cstheme="minorHAnsi"/>
              </w:rPr>
              <w:t>.2.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átvilágítási szabályoknak megfelelően megszerzett adatok kapcsán fennálló adatszolgáltatási kötelezettség teljesítése 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2013. évi XXXVII. törvény 43/H. §) paragrafusban meghatározott adatok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Szerződés megszűnéséig.</w:t>
            </w:r>
          </w:p>
        </w:tc>
      </w:tr>
      <w:tr w:rsidR="005A1894" w:rsidRPr="0071067C" w:rsidTr="005A1894">
        <w:trPr>
          <w:trHeight w:val="111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F55F31">
              <w:rPr>
                <w:rFonts w:cstheme="minorHAnsi"/>
              </w:rPr>
              <w:t>1</w:t>
            </w:r>
            <w:r w:rsidRPr="0071067C">
              <w:rPr>
                <w:rFonts w:cstheme="minorHAnsi"/>
              </w:rPr>
              <w:t>.3.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 tényleges tulajdonos kilétéről történő megbizonyosodás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>. 8.§ (2)-(3) bekezdésben meghatározott adatok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Szerződés megszűnéséig.</w:t>
            </w:r>
          </w:p>
        </w:tc>
      </w:tr>
      <w:tr w:rsidR="005A1894" w:rsidRPr="0071067C" w:rsidTr="005A1894">
        <w:trPr>
          <w:trHeight w:val="85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F55F31">
              <w:rPr>
                <w:rFonts w:cstheme="minorHAnsi"/>
              </w:rPr>
              <w:t>2</w:t>
            </w:r>
            <w:r w:rsidRPr="0071067C">
              <w:rPr>
                <w:rFonts w:cstheme="minorHAnsi"/>
              </w:rPr>
              <w:t>.</w:t>
            </w:r>
          </w:p>
        </w:tc>
        <w:tc>
          <w:tcPr>
            <w:tcW w:w="4176" w:type="dxa"/>
            <w:gridSpan w:val="2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Megbízási </w:t>
            </w:r>
            <w:proofErr w:type="gramStart"/>
            <w:r w:rsidRPr="0071067C">
              <w:rPr>
                <w:rFonts w:cstheme="minorHAnsi"/>
              </w:rPr>
              <w:t>tranzakció</w:t>
            </w:r>
            <w:proofErr w:type="gramEnd"/>
            <w:r w:rsidRPr="0071067C">
              <w:rPr>
                <w:rFonts w:cstheme="minorHAnsi"/>
              </w:rPr>
              <w:t xml:space="preserve"> felvétele, teljesítése, elutasítása, visszaigazolása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rPr>
                <w:rFonts w:cstheme="minorHAnsi"/>
              </w:rPr>
            </w:pPr>
            <w:r w:rsidRPr="0071067C">
              <w:rPr>
                <w:rFonts w:cstheme="minorHAnsi"/>
              </w:rPr>
              <w:t>Személyazonosító adatok, kapcsolattartási adatok, telefonon keresztül adott megbízások esetén a vonatkozó hang</w:t>
            </w:r>
            <w:proofErr w:type="gramStart"/>
            <w:r w:rsidRPr="0071067C">
              <w:rPr>
                <w:rFonts w:cstheme="minorHAnsi"/>
              </w:rPr>
              <w:t>fájl</w:t>
            </w:r>
            <w:proofErr w:type="gramEnd"/>
            <w:r w:rsidRPr="0071067C">
              <w:rPr>
                <w:rFonts w:cstheme="minorHAnsi"/>
              </w:rPr>
              <w:t xml:space="preserve"> tartalma, megbízás szerinti adatok, ide értve például: </w:t>
            </w:r>
          </w:p>
          <w:p w:rsidR="007B60D7" w:rsidRPr="0071067C" w:rsidRDefault="007B60D7" w:rsidP="007B60D7">
            <w:pPr>
              <w:rPr>
                <w:rFonts w:cstheme="minorHAnsi"/>
              </w:rPr>
            </w:pPr>
            <w:proofErr w:type="gramStart"/>
            <w:r w:rsidRPr="0071067C">
              <w:rPr>
                <w:rFonts w:cstheme="minorHAnsi"/>
              </w:rPr>
              <w:t>állampapír jegyzés</w:t>
            </w:r>
            <w:proofErr w:type="gramEnd"/>
            <w:r w:rsidRPr="0071067C">
              <w:rPr>
                <w:rFonts w:cstheme="minorHAnsi"/>
              </w:rPr>
              <w:t xml:space="preserve"> / eladás,</w:t>
            </w:r>
            <w:r w:rsidRPr="0071067C">
              <w:rPr>
                <w:rFonts w:cstheme="minorHAnsi"/>
              </w:rPr>
              <w:br/>
              <w:t>befektetési jegyek vétele / eladása,</w:t>
            </w:r>
            <w:r w:rsidRPr="0071067C">
              <w:rPr>
                <w:rFonts w:cstheme="minorHAnsi"/>
              </w:rPr>
              <w:br/>
              <w:t>egyéb értékpapír vétele / eladása,</w:t>
            </w:r>
            <w:r w:rsidRPr="0071067C">
              <w:rPr>
                <w:rFonts w:cstheme="minorHAnsi"/>
              </w:rPr>
              <w:br/>
              <w:t>tartós megbízás,</w:t>
            </w:r>
            <w:r w:rsidRPr="0071067C">
              <w:rPr>
                <w:rFonts w:cstheme="minorHAnsi"/>
              </w:rPr>
              <w:br/>
              <w:t>pénz átvezetés,</w:t>
            </w:r>
            <w:r w:rsidRPr="0071067C">
              <w:rPr>
                <w:rFonts w:cstheme="minorHAnsi"/>
              </w:rPr>
              <w:br/>
              <w:t>átutalási megbízás,</w:t>
            </w:r>
            <w:r w:rsidRPr="0071067C">
              <w:rPr>
                <w:rFonts w:cstheme="minorHAnsi"/>
              </w:rPr>
              <w:br/>
              <w:t>deviza konverzió,</w:t>
            </w:r>
            <w:r w:rsidRPr="0071067C">
              <w:rPr>
                <w:rFonts w:cstheme="minorHAnsi"/>
              </w:rPr>
              <w:br/>
              <w:t>értékpapír átvezetés,</w:t>
            </w:r>
            <w:r w:rsidRPr="0071067C">
              <w:rPr>
                <w:rFonts w:cstheme="minorHAnsi"/>
              </w:rPr>
              <w:br/>
              <w:t>TBSZ részkifizetés</w:t>
            </w:r>
            <w:r w:rsidRPr="0071067C">
              <w:rPr>
                <w:rFonts w:cstheme="minorHAnsi"/>
              </w:rPr>
              <w:br/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Szerződés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b)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Szerződés megszűnéséig.</w:t>
            </w:r>
          </w:p>
        </w:tc>
      </w:tr>
      <w:tr w:rsidR="005A1894" w:rsidRPr="0071067C" w:rsidTr="005A1894">
        <w:trPr>
          <w:trHeight w:val="73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4176" w:type="dxa"/>
            <w:gridSpan w:val="2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Megbízás teljesítését igazoló </w:t>
            </w:r>
            <w:proofErr w:type="gramStart"/>
            <w:r w:rsidRPr="0071067C">
              <w:rPr>
                <w:rFonts w:cstheme="minorHAnsi"/>
              </w:rPr>
              <w:t>dokumentumok</w:t>
            </w:r>
            <w:proofErr w:type="gramEnd"/>
            <w:r w:rsidRPr="0071067C">
              <w:rPr>
                <w:rFonts w:cstheme="minorHAnsi"/>
              </w:rPr>
              <w:t xml:space="preserve">. 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proofErr w:type="spellStart"/>
            <w:r w:rsidRPr="0071067C">
              <w:rPr>
                <w:rFonts w:cstheme="minorHAnsi"/>
              </w:rPr>
              <w:t>Szmt</w:t>
            </w:r>
            <w:proofErr w:type="spellEnd"/>
            <w:r w:rsidRPr="0071067C">
              <w:rPr>
                <w:rFonts w:cstheme="minorHAnsi"/>
              </w:rPr>
              <w:t xml:space="preserve">. 169. § (1)-(2)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 xml:space="preserve">. </w:t>
            </w:r>
            <w:proofErr w:type="gramStart"/>
            <w:r w:rsidRPr="0071067C">
              <w:rPr>
                <w:rFonts w:cstheme="minorHAnsi"/>
              </w:rPr>
              <w:t>szerinti</w:t>
            </w:r>
            <w:proofErr w:type="gramEnd"/>
            <w:r w:rsidRPr="0071067C">
              <w:rPr>
                <w:rFonts w:cstheme="minorHAnsi"/>
              </w:rPr>
              <w:t xml:space="preserve"> 8 év</w:t>
            </w:r>
          </w:p>
        </w:tc>
      </w:tr>
      <w:tr w:rsidR="005A1894" w:rsidRPr="0071067C" w:rsidTr="005A1894">
        <w:trPr>
          <w:trHeight w:val="717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860322">
              <w:rPr>
                <w:rFonts w:cstheme="minorHAnsi"/>
              </w:rPr>
              <w:t>3</w:t>
            </w:r>
            <w:r w:rsidRPr="0071067C">
              <w:rPr>
                <w:rFonts w:cstheme="minorHAnsi"/>
              </w:rPr>
              <w:t>.</w:t>
            </w:r>
          </w:p>
        </w:tc>
        <w:tc>
          <w:tcPr>
            <w:tcW w:w="4176" w:type="dxa"/>
            <w:gridSpan w:val="2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Szolgáltatás ellenértékének elszámolásával összefüggő adatkezelés</w:t>
            </w:r>
          </w:p>
        </w:tc>
        <w:tc>
          <w:tcPr>
            <w:tcW w:w="9497" w:type="dxa"/>
            <w:gridSpan w:val="3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</w:tr>
      <w:tr w:rsidR="005A1894" w:rsidRPr="0071067C" w:rsidTr="005A1894">
        <w:trPr>
          <w:trHeight w:val="835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860322">
              <w:rPr>
                <w:rFonts w:cstheme="minorHAnsi"/>
              </w:rPr>
              <w:t>3</w:t>
            </w:r>
            <w:r w:rsidRPr="0071067C">
              <w:rPr>
                <w:rFonts w:cstheme="minorHAnsi"/>
              </w:rPr>
              <w:t>.1.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Díjfizetési </w:t>
            </w:r>
            <w:proofErr w:type="gramStart"/>
            <w:r w:rsidRPr="0071067C">
              <w:rPr>
                <w:rFonts w:cstheme="minorHAnsi"/>
              </w:rPr>
              <w:t>kondíciók</w:t>
            </w:r>
            <w:proofErr w:type="gramEnd"/>
            <w:r w:rsidRPr="0071067C">
              <w:rPr>
                <w:rFonts w:cstheme="minorHAnsi"/>
              </w:rPr>
              <w:t xml:space="preserve"> szerinti teljesítés követése és elszámolása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 számviteli törvényről szóló 2000. évi C. törvény (</w:t>
            </w:r>
            <w:proofErr w:type="spellStart"/>
            <w:r w:rsidRPr="0071067C">
              <w:rPr>
                <w:rFonts w:cstheme="minorHAnsi"/>
              </w:rPr>
              <w:t>Szmt</w:t>
            </w:r>
            <w:proofErr w:type="spellEnd"/>
            <w:r w:rsidRPr="0071067C">
              <w:rPr>
                <w:rFonts w:cstheme="minorHAnsi"/>
              </w:rPr>
              <w:t xml:space="preserve">.) 166-167. § bekezdéseiben </w:t>
            </w:r>
            <w:proofErr w:type="gramStart"/>
            <w:r w:rsidRPr="0071067C">
              <w:rPr>
                <w:rFonts w:cstheme="minorHAnsi"/>
              </w:rPr>
              <w:t>foglaltaknak szerinti</w:t>
            </w:r>
            <w:proofErr w:type="gramEnd"/>
            <w:r w:rsidRPr="0071067C">
              <w:rPr>
                <w:rFonts w:cstheme="minorHAnsi"/>
              </w:rPr>
              <w:t xml:space="preserve"> számviteli bizonylatokban rögzített adatok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proofErr w:type="spellStart"/>
            <w:r w:rsidRPr="0071067C">
              <w:rPr>
                <w:rFonts w:cstheme="minorHAnsi"/>
              </w:rPr>
              <w:t>Szmt</w:t>
            </w:r>
            <w:proofErr w:type="spellEnd"/>
            <w:r w:rsidRPr="0071067C">
              <w:rPr>
                <w:rFonts w:cstheme="minorHAnsi"/>
              </w:rPr>
              <w:t xml:space="preserve">. 169. § (1)-(2)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 xml:space="preserve">. </w:t>
            </w:r>
            <w:proofErr w:type="gramStart"/>
            <w:r w:rsidRPr="0071067C">
              <w:rPr>
                <w:rFonts w:cstheme="minorHAnsi"/>
              </w:rPr>
              <w:t>szerinti</w:t>
            </w:r>
            <w:proofErr w:type="gramEnd"/>
            <w:r w:rsidRPr="0071067C">
              <w:rPr>
                <w:rFonts w:cstheme="minorHAnsi"/>
              </w:rPr>
              <w:t xml:space="preserve"> 8 év</w:t>
            </w:r>
          </w:p>
        </w:tc>
      </w:tr>
      <w:tr w:rsidR="005A1894" w:rsidRPr="0071067C" w:rsidTr="005A1894">
        <w:trPr>
          <w:trHeight w:val="76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860322">
              <w:rPr>
                <w:rFonts w:cstheme="minorHAnsi"/>
              </w:rPr>
              <w:t>4</w:t>
            </w:r>
            <w:r w:rsidRPr="0071067C">
              <w:rPr>
                <w:rFonts w:cstheme="minorHAnsi"/>
              </w:rPr>
              <w:t>.</w:t>
            </w:r>
          </w:p>
        </w:tc>
        <w:tc>
          <w:tcPr>
            <w:tcW w:w="4176" w:type="dxa"/>
            <w:gridSpan w:val="2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Befektetési tanácsadás során a befektető védelme (</w:t>
            </w:r>
            <w:proofErr w:type="spellStart"/>
            <w:r w:rsidRPr="0071067C">
              <w:rPr>
                <w:rFonts w:cstheme="minorHAnsi"/>
              </w:rPr>
              <w:t>MiFID</w:t>
            </w:r>
            <w:proofErr w:type="spellEnd"/>
            <w:r w:rsidRPr="0071067C">
              <w:rPr>
                <w:rFonts w:cstheme="minorHAnsi"/>
              </w:rPr>
              <w:t xml:space="preserve"> teszt)</w:t>
            </w:r>
          </w:p>
        </w:tc>
        <w:tc>
          <w:tcPr>
            <w:tcW w:w="9497" w:type="dxa"/>
            <w:gridSpan w:val="3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</w:tr>
      <w:tr w:rsidR="005A1894" w:rsidRPr="0071067C" w:rsidTr="005A1894">
        <w:trPr>
          <w:trHeight w:val="115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860322">
              <w:rPr>
                <w:rFonts w:cstheme="minorHAnsi"/>
              </w:rPr>
              <w:t>4</w:t>
            </w:r>
            <w:r w:rsidRPr="0071067C">
              <w:rPr>
                <w:rFonts w:cstheme="minorHAnsi"/>
              </w:rPr>
              <w:t>.</w:t>
            </w:r>
            <w:r w:rsidR="00F55F31">
              <w:rPr>
                <w:rFonts w:cstheme="minorHAnsi"/>
              </w:rPr>
              <w:t>1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Befektetési tanácsadás vagy portfóliókezelés nyújtását megelőzően alkalmassági teszt kitöltése körülményeihez igazodó, veszteségviselési képességével összhangban álló, valamint a befektetési elvárásai megvalósítására alkalmas ügyletet vagy pénzügyi eszközt ajánljon.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Alkalmassági tesztben megadott válaszok és annak eredménye, abból levonható következtetések a </w:t>
            </w:r>
            <w:proofErr w:type="spellStart"/>
            <w:r w:rsidRPr="0071067C">
              <w:rPr>
                <w:rFonts w:cstheme="minorHAnsi"/>
              </w:rPr>
              <w:t>Bszt</w:t>
            </w:r>
            <w:proofErr w:type="spellEnd"/>
            <w:r w:rsidRPr="0071067C">
              <w:rPr>
                <w:rFonts w:cstheme="minorHAnsi"/>
              </w:rPr>
              <w:t xml:space="preserve">. 44. §) szerinti adattartalommal (pl. pénzügyi eszközzel vagy ügylettel kapcsolatos gyakorlata, kockázat- és veszteségviselő képesség; szűkséges mértékben az ügyfél jövedelmi helyzetét és befektetési céljait 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</w:t>
            </w:r>
          </w:p>
          <w:p w:rsidR="007B60D7" w:rsidRPr="0071067C" w:rsidRDefault="007B60D7" w:rsidP="007B60D7">
            <w:pPr>
              <w:jc w:val="both"/>
              <w:rPr>
                <w:rFonts w:cstheme="minorHAnsi"/>
                <w:b/>
              </w:rPr>
            </w:pPr>
            <w:proofErr w:type="spellStart"/>
            <w:r w:rsidRPr="0071067C">
              <w:rPr>
                <w:rFonts w:cstheme="minorHAnsi"/>
              </w:rPr>
              <w:t>Bszt</w:t>
            </w:r>
            <w:proofErr w:type="spellEnd"/>
            <w:r w:rsidRPr="0071067C">
              <w:rPr>
                <w:rFonts w:cstheme="minorHAnsi"/>
              </w:rPr>
              <w:t>. 44. § (1), (2) bekezdés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 Az üzleti kapcsolat megszűnésétől, illetve az ügyleti megbízás teljesítésétől számított </w:t>
            </w: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>. szerinti 8 év.</w:t>
            </w:r>
          </w:p>
        </w:tc>
      </w:tr>
      <w:tr w:rsidR="005A1894" w:rsidRPr="0071067C" w:rsidTr="005A1894">
        <w:trPr>
          <w:trHeight w:val="1150"/>
        </w:trPr>
        <w:tc>
          <w:tcPr>
            <w:tcW w:w="400" w:type="dxa"/>
            <w:vMerge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860322">
              <w:rPr>
                <w:rFonts w:cstheme="minorHAnsi"/>
              </w:rPr>
              <w:t>4</w:t>
            </w:r>
            <w:r w:rsidRPr="0071067C">
              <w:rPr>
                <w:rFonts w:cstheme="minorHAnsi"/>
              </w:rPr>
              <w:t>.2</w:t>
            </w:r>
          </w:p>
        </w:tc>
        <w:tc>
          <w:tcPr>
            <w:tcW w:w="3348" w:type="dxa"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Egyéb befektetési szolgáltatás nyújtása esetén annak </w:t>
            </w:r>
            <w:proofErr w:type="gramStart"/>
            <w:r w:rsidRPr="0071067C">
              <w:rPr>
                <w:rFonts w:cstheme="minorHAnsi"/>
              </w:rPr>
              <w:t>megítélése</w:t>
            </w:r>
            <w:proofErr w:type="gramEnd"/>
            <w:r w:rsidRPr="0071067C">
              <w:rPr>
                <w:rFonts w:cstheme="minorHAnsi"/>
              </w:rPr>
              <w:t xml:space="preserve"> hogy az ügyfél számára megfelelő ügylettel vagy pénzügyi eszközzel kapcsolatos szolgáltatást nyújtsa</w:t>
            </w:r>
          </w:p>
        </w:tc>
        <w:tc>
          <w:tcPr>
            <w:tcW w:w="3827" w:type="dxa"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  <w:color w:val="000000"/>
              </w:rPr>
              <w:t>Az érintett által a megfelelési tesztben megadott válaszok és annak eredménye, abból levonható következtetések</w:t>
            </w:r>
            <w:r w:rsidRPr="0071067C">
              <w:rPr>
                <w:rFonts w:cstheme="minorHAnsi"/>
              </w:rPr>
              <w:t xml:space="preserve"> befektetési elvárásai); </w:t>
            </w:r>
            <w:proofErr w:type="spellStart"/>
            <w:r w:rsidRPr="0071067C">
              <w:rPr>
                <w:rFonts w:cstheme="minorHAnsi"/>
              </w:rPr>
              <w:t>Bszt</w:t>
            </w:r>
            <w:proofErr w:type="spellEnd"/>
            <w:r w:rsidRPr="0071067C">
              <w:rPr>
                <w:rFonts w:cstheme="minorHAnsi"/>
              </w:rPr>
              <w:t xml:space="preserve">. 45. §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.) Pl. a szerződésben foglalt ügylet lényegével, az ügyletben érintett pénzügyi eszköz jellemzőivel, és különösen ezek kockázataival kapcsolatos ismereteiről és tapasztalat</w:t>
            </w:r>
          </w:p>
        </w:tc>
        <w:tc>
          <w:tcPr>
            <w:tcW w:w="2551" w:type="dxa"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Jogi kötelezettség teljesítése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c) pont</w:t>
            </w:r>
          </w:p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proofErr w:type="spellStart"/>
            <w:r w:rsidRPr="0071067C">
              <w:rPr>
                <w:rFonts w:cstheme="minorHAnsi"/>
              </w:rPr>
              <w:t>Bszt</w:t>
            </w:r>
            <w:proofErr w:type="spellEnd"/>
            <w:r w:rsidRPr="0071067C">
              <w:rPr>
                <w:rFonts w:cstheme="minorHAnsi"/>
              </w:rPr>
              <w:t>. 45. § (1)</w:t>
            </w:r>
          </w:p>
        </w:tc>
        <w:tc>
          <w:tcPr>
            <w:tcW w:w="3119" w:type="dxa"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üzleti kapcsolat megszűnésétől, illetve az ügyleti megbízás teljesítésétől számított </w:t>
            </w:r>
            <w:proofErr w:type="spellStart"/>
            <w:r w:rsidRPr="0071067C">
              <w:rPr>
                <w:rFonts w:cstheme="minorHAnsi"/>
              </w:rPr>
              <w:t>Pmt</w:t>
            </w:r>
            <w:proofErr w:type="spellEnd"/>
            <w:r w:rsidRPr="0071067C">
              <w:rPr>
                <w:rFonts w:cstheme="minorHAnsi"/>
              </w:rPr>
              <w:t>. szerinti 8 év.</w:t>
            </w:r>
          </w:p>
        </w:tc>
      </w:tr>
      <w:tr w:rsidR="005A1894" w:rsidRPr="0071067C" w:rsidTr="005A1894">
        <w:trPr>
          <w:trHeight w:val="132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82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2.</w:t>
            </w:r>
            <w:r w:rsidR="00860322">
              <w:rPr>
                <w:rFonts w:cstheme="minorHAnsi"/>
              </w:rPr>
              <w:t>4</w:t>
            </w:r>
            <w:r w:rsidRPr="0071067C">
              <w:rPr>
                <w:rFonts w:cstheme="minorHAnsi"/>
              </w:rPr>
              <w:t>.3.</w:t>
            </w:r>
          </w:p>
        </w:tc>
        <w:tc>
          <w:tcPr>
            <w:tcW w:w="33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Az ügyfél kérésére a jövőbeni befektetési tanácsadás nyújtásának lehetővé tétele, az ügyintézés könnyítése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Alkalmassági tesztben megadott válaszok és annak eredménye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érintett hozzájárulása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a)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 hozzájárulás visszavonásáig, de legkésőbb új teszt kitöltéséig. </w:t>
            </w:r>
          </w:p>
        </w:tc>
      </w:tr>
      <w:tr w:rsidR="007B60D7" w:rsidRPr="0071067C" w:rsidTr="005A1894">
        <w:trPr>
          <w:trHeight w:val="367"/>
        </w:trPr>
        <w:tc>
          <w:tcPr>
            <w:tcW w:w="400" w:type="dxa"/>
            <w:shd w:val="clear" w:color="auto" w:fill="auto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  <w:b/>
                <w:color w:val="8D1C6B" w:themeColor="background1"/>
              </w:rPr>
            </w:pPr>
            <w:r w:rsidRPr="0071067C">
              <w:rPr>
                <w:rFonts w:cstheme="minorHAnsi"/>
                <w:b/>
                <w:color w:val="8D1C6B" w:themeColor="background1"/>
              </w:rPr>
              <w:t>3.</w:t>
            </w:r>
          </w:p>
        </w:tc>
        <w:tc>
          <w:tcPr>
            <w:tcW w:w="5124" w:type="dxa"/>
            <w:gridSpan w:val="3"/>
            <w:shd w:val="clear" w:color="auto" w:fill="auto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  <w:b/>
                <w:color w:val="8D1C6B" w:themeColor="background1"/>
              </w:rPr>
            </w:pPr>
            <w:r w:rsidRPr="0071067C">
              <w:rPr>
                <w:rFonts w:cstheme="minorHAnsi"/>
                <w:b/>
                <w:color w:val="8D1C6B" w:themeColor="background1"/>
              </w:rPr>
              <w:t xml:space="preserve">Igényérvényesítés és követeléskezelés  </w:t>
            </w:r>
          </w:p>
        </w:tc>
        <w:tc>
          <w:tcPr>
            <w:tcW w:w="9497" w:type="dxa"/>
            <w:gridSpan w:val="3"/>
            <w:shd w:val="clear" w:color="auto" w:fill="auto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  <w:b/>
                <w:color w:val="8D1C6B" w:themeColor="background1"/>
              </w:rPr>
            </w:pPr>
            <w:r w:rsidRPr="0071067C">
              <w:rPr>
                <w:rFonts w:cstheme="minorHAnsi"/>
                <w:b/>
                <w:color w:val="8D1C6B" w:themeColor="background1"/>
              </w:rPr>
              <w:t> </w:t>
            </w:r>
          </w:p>
        </w:tc>
      </w:tr>
      <w:tr w:rsidR="005A1894" w:rsidRPr="0071067C" w:rsidTr="005A1894">
        <w:trPr>
          <w:trHeight w:val="425"/>
        </w:trPr>
        <w:tc>
          <w:tcPr>
            <w:tcW w:w="400" w:type="dxa"/>
            <w:vMerge w:val="restart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 </w:t>
            </w: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3.1.</w:t>
            </w:r>
          </w:p>
        </w:tc>
        <w:tc>
          <w:tcPr>
            <w:tcW w:w="4176" w:type="dxa"/>
            <w:gridSpan w:val="2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 Felek közötti esetleges jogi viták rendezése 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Ügyfél azonosító adatai, kapcsolattartási adatok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Adatkezelő azon jogos érdeke, hogy a felek közötti jogi vita rendezése érdekében álláspontját érvényesíteni és igazolni tudja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f)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 jogviszony megszűnésétől számított Polgári Törvénykönyvről szóló 2013. évi V. törvény szerinti ún. általános elévülési időig (5 év).</w:t>
            </w:r>
          </w:p>
        </w:tc>
      </w:tr>
      <w:tr w:rsidR="005A1894" w:rsidRPr="0071067C" w:rsidTr="005A1894">
        <w:trPr>
          <w:trHeight w:val="111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3.2.</w:t>
            </w:r>
          </w:p>
        </w:tc>
        <w:tc>
          <w:tcPr>
            <w:tcW w:w="4176" w:type="dxa"/>
            <w:gridSpan w:val="2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A szerződésből eredő igények érvényesítése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Személyazonosító adatok, egyedi azonosító, tranzakcióazonosító, a fennálló követelést alátámasztó adatok. 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Adatkezelő azon jogos érdeke, hogy a felek közötti, már megszűnt szerződésből fakadó követeléseit behajtása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f) pontja)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Megtérülésig, vagy az érintett tiltakozási jogának sikeres gyakorlásáig</w:t>
            </w:r>
          </w:p>
        </w:tc>
      </w:tr>
      <w:tr w:rsidR="005A1894" w:rsidRPr="0071067C" w:rsidTr="005A1894">
        <w:trPr>
          <w:trHeight w:val="1010"/>
        </w:trPr>
        <w:tc>
          <w:tcPr>
            <w:tcW w:w="400" w:type="dxa"/>
            <w:vMerge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3.3.</w:t>
            </w:r>
          </w:p>
        </w:tc>
        <w:tc>
          <w:tcPr>
            <w:tcW w:w="4176" w:type="dxa"/>
            <w:gridSpan w:val="2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Kapcsolattartás a felek között a követelés rendezése érdekében a szerződés megszűnését követően</w:t>
            </w:r>
          </w:p>
        </w:tc>
        <w:tc>
          <w:tcPr>
            <w:tcW w:w="3827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Ügyfél azonosító adatai, kapcsolattartási adatok</w:t>
            </w:r>
          </w:p>
        </w:tc>
        <w:tc>
          <w:tcPr>
            <w:tcW w:w="2551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 xml:space="preserve">Az Adatkezelő azon jogos érdeke, hogy a felek közötti szerződésből fakadó követeléseit </w:t>
            </w:r>
            <w:proofErr w:type="spellStart"/>
            <w:r w:rsidRPr="0071067C">
              <w:rPr>
                <w:rFonts w:cstheme="minorHAnsi"/>
              </w:rPr>
              <w:t>behajtsa</w:t>
            </w:r>
            <w:proofErr w:type="spellEnd"/>
            <w:r w:rsidRPr="0071067C">
              <w:rPr>
                <w:rFonts w:cstheme="minorHAnsi"/>
              </w:rPr>
              <w:t xml:space="preserve">, ennek érdekében az esetleges vitákat az </w:t>
            </w:r>
            <w:proofErr w:type="spellStart"/>
            <w:r w:rsidRPr="0071067C">
              <w:rPr>
                <w:rFonts w:cstheme="minorHAnsi"/>
              </w:rPr>
              <w:t>érintettel</w:t>
            </w:r>
            <w:proofErr w:type="spellEnd"/>
            <w:r w:rsidRPr="0071067C">
              <w:rPr>
                <w:rFonts w:cstheme="minorHAnsi"/>
              </w:rPr>
              <w:t xml:space="preserve"> elsősorban békés úton rendezze (GDPR 6. cikk (1) </w:t>
            </w:r>
            <w:proofErr w:type="spellStart"/>
            <w:r w:rsidRPr="0071067C">
              <w:rPr>
                <w:rFonts w:cstheme="minorHAnsi"/>
              </w:rPr>
              <w:t>bek</w:t>
            </w:r>
            <w:proofErr w:type="spellEnd"/>
            <w:r w:rsidRPr="0071067C">
              <w:rPr>
                <w:rFonts w:cstheme="minorHAnsi"/>
              </w:rPr>
              <w:t>. f) pont)</w:t>
            </w:r>
          </w:p>
        </w:tc>
        <w:tc>
          <w:tcPr>
            <w:tcW w:w="3119" w:type="dxa"/>
            <w:hideMark/>
          </w:tcPr>
          <w:p w:rsidR="007B60D7" w:rsidRPr="0071067C" w:rsidRDefault="007B60D7" w:rsidP="007B60D7">
            <w:pPr>
              <w:jc w:val="both"/>
              <w:rPr>
                <w:rFonts w:cstheme="minorHAnsi"/>
              </w:rPr>
            </w:pPr>
            <w:r w:rsidRPr="0071067C">
              <w:rPr>
                <w:rFonts w:cstheme="minorHAnsi"/>
              </w:rPr>
              <w:t>Megtérülésig, vagy az érintett tiltakozási jogának sikeres gyakorlásáig.</w:t>
            </w:r>
          </w:p>
        </w:tc>
      </w:tr>
    </w:tbl>
    <w:p w:rsidR="007B60D7" w:rsidRPr="0071067C" w:rsidRDefault="007B60D7" w:rsidP="002C721B">
      <w:pPr>
        <w:rPr>
          <w:rFonts w:cstheme="minorHAnsi"/>
          <w:sz w:val="22"/>
          <w:szCs w:val="22"/>
        </w:rPr>
      </w:pPr>
    </w:p>
    <w:sectPr w:rsidR="007B60D7" w:rsidRPr="0071067C" w:rsidSect="006743AF">
      <w:headerReference w:type="default" r:id="rId20"/>
      <w:footerReference w:type="even" r:id="rId21"/>
      <w:footerReference w:type="default" r:id="rId22"/>
      <w:pgSz w:w="16838" w:h="11906" w:orient="landscape"/>
      <w:pgMar w:top="680" w:right="1276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1B" w:rsidRDefault="002C721B" w:rsidP="000539A5">
      <w:r>
        <w:separator/>
      </w:r>
    </w:p>
  </w:endnote>
  <w:endnote w:type="continuationSeparator" w:id="0">
    <w:p w:rsidR="002C721B" w:rsidRDefault="002C721B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1B" w:rsidRDefault="002C721B" w:rsidP="00500BE1">
    <w:pPr>
      <w:pStyle w:val="llb"/>
    </w:pPr>
  </w:p>
  <w:p w:rsidR="002C721B" w:rsidRPr="00904097" w:rsidRDefault="002C721B" w:rsidP="00904097">
    <w:pPr>
      <w:pStyle w:val="llb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1B" w:rsidRDefault="002C721B" w:rsidP="00815756">
    <w:pPr>
      <w:pStyle w:val="llb"/>
    </w:pPr>
  </w:p>
  <w:p w:rsidR="002C721B" w:rsidRPr="00904097" w:rsidRDefault="002C721B" w:rsidP="00904097">
    <w:pPr>
      <w:pStyle w:val="llb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FA7507" w:rsidRDefault="00FA7507" w:rsidP="00FA7507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  <w:b/>
        <w:bCs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</w:rPr>
        </w:pPr>
        <w:r w:rsidRPr="00DA6892">
          <w:rPr>
            <w:rStyle w:val="Oldalszm"/>
            <w:b/>
            <w:bCs/>
          </w:rPr>
          <w:fldChar w:fldCharType="begin"/>
        </w:r>
        <w:r w:rsidRPr="00DA6892">
          <w:rPr>
            <w:rStyle w:val="Oldalszm"/>
            <w:b/>
            <w:bCs/>
          </w:rPr>
          <w:instrText xml:space="preserve"> PAGE </w:instrText>
        </w:r>
        <w:r w:rsidRPr="00DA6892">
          <w:rPr>
            <w:rStyle w:val="Oldalszm"/>
            <w:b/>
            <w:bCs/>
          </w:rPr>
          <w:fldChar w:fldCharType="separate"/>
        </w:r>
        <w:r w:rsidR="00122262">
          <w:rPr>
            <w:rStyle w:val="Oldalszm"/>
            <w:b/>
            <w:bCs/>
            <w:noProof/>
          </w:rPr>
          <w:t>9</w:t>
        </w:r>
        <w:r w:rsidRPr="00DA6892">
          <w:rPr>
            <w:rStyle w:val="Oldalszm"/>
            <w:b/>
            <w:bCs/>
          </w:rPr>
          <w:fldChar w:fldCharType="end"/>
        </w:r>
      </w:p>
    </w:sdtContent>
  </w:sdt>
  <w:p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1B" w:rsidRDefault="002C721B" w:rsidP="000539A5">
      <w:r>
        <w:separator/>
      </w:r>
    </w:p>
  </w:footnote>
  <w:footnote w:type="continuationSeparator" w:id="0">
    <w:p w:rsidR="002C721B" w:rsidRDefault="002C721B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1B" w:rsidRDefault="00E72730">
    <w:pPr>
      <w:pStyle w:val="lfej"/>
    </w:pPr>
    <w:r>
      <w:rPr>
        <w:noProof/>
        <w:lang w:eastAsia="hu-HU"/>
      </w:rPr>
      <w:drawing>
        <wp:inline distT="0" distB="0" distL="0" distR="0">
          <wp:extent cx="1998000" cy="237600"/>
          <wp:effectExtent l="0" t="0" r="254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H_landscape_befektetesi_ban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7FC5">
      <w:t xml:space="preserve"> </w:t>
    </w:r>
    <w:r w:rsidR="00F77FC5" w:rsidRPr="000C0768">
      <w:rPr>
        <w:color w:val="FFFFFF"/>
      </w:rPr>
      <w:t>V.1.</w:t>
    </w:r>
  </w:p>
  <w:p w:rsidR="002C721B" w:rsidRDefault="002C721B" w:rsidP="00906D04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1B" w:rsidRDefault="002C721B" w:rsidP="00906D04">
    <w:pPr>
      <w:pStyle w:val="lfej"/>
      <w:tabs>
        <w:tab w:val="clear" w:pos="4513"/>
        <w:tab w:val="clear" w:pos="9026"/>
      </w:tabs>
      <w:jc w:val="center"/>
    </w:pPr>
    <w:r>
      <w:rPr>
        <w:noProof/>
        <w:lang w:eastAsia="hu-HU"/>
      </w:rPr>
      <w:ptab w:relativeTo="margin" w:alignment="left" w:leader="none"/>
    </w:r>
    <w:r>
      <w:rPr>
        <w:noProof/>
        <w:lang w:eastAsia="hu-HU"/>
      </w:rPr>
      <w:drawing>
        <wp:inline distT="0" distB="0" distL="0" distR="0" wp14:anchorId="453966A5" wp14:editId="46239C3C">
          <wp:extent cx="1170000" cy="23040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21B" w:rsidRDefault="002C721B" w:rsidP="00906D04">
    <w:pPr>
      <w:pStyle w:val="lfej"/>
      <w:tabs>
        <w:tab w:val="clear" w:pos="4513"/>
        <w:tab w:val="clear" w:pos="9026"/>
      </w:tabs>
      <w:jc w:val="center"/>
    </w:pPr>
  </w:p>
  <w:p w:rsidR="002C721B" w:rsidRDefault="002C721B" w:rsidP="00906D04">
    <w:pPr>
      <w:pStyle w:val="lfej"/>
      <w:tabs>
        <w:tab w:val="clear" w:pos="4513"/>
        <w:tab w:val="clear" w:pos="902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7F" w:rsidRPr="00EA466E" w:rsidRDefault="006A012A" w:rsidP="00EA466E">
    <w:r>
      <w:rPr>
        <w:noProof/>
        <w:lang w:eastAsia="hu-HU"/>
      </w:rPr>
      <w:drawing>
        <wp:inline distT="0" distB="0" distL="0" distR="0" wp14:anchorId="237DAD58" wp14:editId="276FD03A">
          <wp:extent cx="1171575" cy="23187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82" cy="23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76E"/>
    <w:multiLevelType w:val="multilevel"/>
    <w:tmpl w:val="1EE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CFD"/>
    <w:multiLevelType w:val="multilevel"/>
    <w:tmpl w:val="5EA69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510"/>
    <w:multiLevelType w:val="multilevel"/>
    <w:tmpl w:val="56F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CB08E1"/>
    <w:multiLevelType w:val="multilevel"/>
    <w:tmpl w:val="040E001F"/>
    <w:lvl w:ilvl="0">
      <w:start w:val="1"/>
      <w:numFmt w:val="decimal"/>
      <w:lvlText w:val="%1."/>
      <w:lvlJc w:val="left"/>
      <w:pPr>
        <w:ind w:left="56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3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4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4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24" w:hanging="1440"/>
      </w:pPr>
      <w:rPr>
        <w:rFonts w:cs="Times New Roman"/>
      </w:rPr>
    </w:lvl>
  </w:abstractNum>
  <w:abstractNum w:abstractNumId="10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C1DCA"/>
    <w:multiLevelType w:val="hybridMultilevel"/>
    <w:tmpl w:val="49F6C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1280A"/>
    <w:multiLevelType w:val="hybridMultilevel"/>
    <w:tmpl w:val="6DE6A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31A77"/>
    <w:multiLevelType w:val="hybridMultilevel"/>
    <w:tmpl w:val="552E4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44EC"/>
    <w:multiLevelType w:val="hybridMultilevel"/>
    <w:tmpl w:val="C42C6D24"/>
    <w:lvl w:ilvl="0" w:tplc="9CA4E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740AB"/>
    <w:multiLevelType w:val="multilevel"/>
    <w:tmpl w:val="5776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B2287"/>
    <w:multiLevelType w:val="multilevel"/>
    <w:tmpl w:val="BCF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27DF1"/>
    <w:multiLevelType w:val="hybridMultilevel"/>
    <w:tmpl w:val="C21C3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1"/>
  </w:num>
  <w:num w:numId="5">
    <w:abstractNumId w:val="7"/>
  </w:num>
  <w:num w:numId="6">
    <w:abstractNumId w:val="13"/>
  </w:num>
  <w:num w:numId="7">
    <w:abstractNumId w:val="20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2"/>
  </w:num>
  <w:num w:numId="16">
    <w:abstractNumId w:val="15"/>
  </w:num>
  <w:num w:numId="17">
    <w:abstractNumId w:val="2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B"/>
    <w:rsid w:val="00004105"/>
    <w:rsid w:val="00016C79"/>
    <w:rsid w:val="000230F9"/>
    <w:rsid w:val="00023926"/>
    <w:rsid w:val="000539A5"/>
    <w:rsid w:val="000B044E"/>
    <w:rsid w:val="000C0768"/>
    <w:rsid w:val="000D7840"/>
    <w:rsid w:val="000F3163"/>
    <w:rsid w:val="00103C65"/>
    <w:rsid w:val="00115C5E"/>
    <w:rsid w:val="00120754"/>
    <w:rsid w:val="00122262"/>
    <w:rsid w:val="00143E23"/>
    <w:rsid w:val="0015541C"/>
    <w:rsid w:val="001559C8"/>
    <w:rsid w:val="00195E7D"/>
    <w:rsid w:val="001A3756"/>
    <w:rsid w:val="0021446E"/>
    <w:rsid w:val="0023409D"/>
    <w:rsid w:val="0023483A"/>
    <w:rsid w:val="00266D49"/>
    <w:rsid w:val="002C721B"/>
    <w:rsid w:val="002D566A"/>
    <w:rsid w:val="00310C45"/>
    <w:rsid w:val="003559D9"/>
    <w:rsid w:val="00360F68"/>
    <w:rsid w:val="00370D39"/>
    <w:rsid w:val="00383B1F"/>
    <w:rsid w:val="003A4C51"/>
    <w:rsid w:val="003C1A24"/>
    <w:rsid w:val="003E36D1"/>
    <w:rsid w:val="003E3C25"/>
    <w:rsid w:val="0044612B"/>
    <w:rsid w:val="00495034"/>
    <w:rsid w:val="004B4172"/>
    <w:rsid w:val="004E39FC"/>
    <w:rsid w:val="005070A1"/>
    <w:rsid w:val="00513DB7"/>
    <w:rsid w:val="005326C5"/>
    <w:rsid w:val="00535D2D"/>
    <w:rsid w:val="005A0528"/>
    <w:rsid w:val="005A1894"/>
    <w:rsid w:val="005B3E5C"/>
    <w:rsid w:val="005C254B"/>
    <w:rsid w:val="005C4787"/>
    <w:rsid w:val="005C72E1"/>
    <w:rsid w:val="005D29B1"/>
    <w:rsid w:val="005E45E7"/>
    <w:rsid w:val="00605F28"/>
    <w:rsid w:val="00606084"/>
    <w:rsid w:val="00623759"/>
    <w:rsid w:val="0063040F"/>
    <w:rsid w:val="006615EB"/>
    <w:rsid w:val="00672B5D"/>
    <w:rsid w:val="006743AF"/>
    <w:rsid w:val="00686D7E"/>
    <w:rsid w:val="006A012A"/>
    <w:rsid w:val="006E19AE"/>
    <w:rsid w:val="006F427F"/>
    <w:rsid w:val="0071067C"/>
    <w:rsid w:val="00754B42"/>
    <w:rsid w:val="00756F72"/>
    <w:rsid w:val="00773E71"/>
    <w:rsid w:val="007A7DC4"/>
    <w:rsid w:val="007B60D7"/>
    <w:rsid w:val="007C27D5"/>
    <w:rsid w:val="00806AAC"/>
    <w:rsid w:val="0083093B"/>
    <w:rsid w:val="00832EE1"/>
    <w:rsid w:val="00840134"/>
    <w:rsid w:val="00853B24"/>
    <w:rsid w:val="00860322"/>
    <w:rsid w:val="00874E19"/>
    <w:rsid w:val="00880D54"/>
    <w:rsid w:val="008A704F"/>
    <w:rsid w:val="008A796B"/>
    <w:rsid w:val="008C2DD3"/>
    <w:rsid w:val="008D4C0E"/>
    <w:rsid w:val="0090146B"/>
    <w:rsid w:val="0094432E"/>
    <w:rsid w:val="0094461C"/>
    <w:rsid w:val="00950421"/>
    <w:rsid w:val="00962BB2"/>
    <w:rsid w:val="0098003B"/>
    <w:rsid w:val="00982868"/>
    <w:rsid w:val="00995A8B"/>
    <w:rsid w:val="009A7CD5"/>
    <w:rsid w:val="009B7A9C"/>
    <w:rsid w:val="009C1094"/>
    <w:rsid w:val="00A715A5"/>
    <w:rsid w:val="00AB3913"/>
    <w:rsid w:val="00AF7EEB"/>
    <w:rsid w:val="00B137B0"/>
    <w:rsid w:val="00B20C7A"/>
    <w:rsid w:val="00B34AB3"/>
    <w:rsid w:val="00BD7C4E"/>
    <w:rsid w:val="00C05CA9"/>
    <w:rsid w:val="00C1081A"/>
    <w:rsid w:val="00C17D24"/>
    <w:rsid w:val="00C45F71"/>
    <w:rsid w:val="00C5578E"/>
    <w:rsid w:val="00C65624"/>
    <w:rsid w:val="00C664F2"/>
    <w:rsid w:val="00C713EA"/>
    <w:rsid w:val="00D03CDE"/>
    <w:rsid w:val="00D32655"/>
    <w:rsid w:val="00D60EB4"/>
    <w:rsid w:val="00D72BF6"/>
    <w:rsid w:val="00D90CC7"/>
    <w:rsid w:val="00D930EB"/>
    <w:rsid w:val="00DA6892"/>
    <w:rsid w:val="00DB3EDE"/>
    <w:rsid w:val="00E27D52"/>
    <w:rsid w:val="00E61825"/>
    <w:rsid w:val="00E62E48"/>
    <w:rsid w:val="00E72730"/>
    <w:rsid w:val="00E738EE"/>
    <w:rsid w:val="00E74F38"/>
    <w:rsid w:val="00E76593"/>
    <w:rsid w:val="00EA466E"/>
    <w:rsid w:val="00EE2A57"/>
    <w:rsid w:val="00F247BF"/>
    <w:rsid w:val="00F26B02"/>
    <w:rsid w:val="00F55F31"/>
    <w:rsid w:val="00F62931"/>
    <w:rsid w:val="00F63823"/>
    <w:rsid w:val="00F77FC5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59D9E4"/>
  <w15:chartTrackingRefBased/>
  <w15:docId w15:val="{6B368F2D-35E1-4549-A916-35A5A61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0D7"/>
  </w:style>
  <w:style w:type="paragraph" w:styleId="Cmsor1">
    <w:name w:val="heading 1"/>
    <w:basedOn w:val="Norml"/>
    <w:next w:val="Norml"/>
    <w:link w:val="Cmsor1Char"/>
    <w:uiPriority w:val="9"/>
    <w:qFormat/>
    <w:rsid w:val="006743AF"/>
    <w:pPr>
      <w:pBdr>
        <w:top w:val="single" w:sz="24" w:space="0" w:color="5ABAC4" w:themeColor="accent1"/>
        <w:left w:val="single" w:sz="24" w:space="0" w:color="5ABAC4" w:themeColor="accent1"/>
        <w:bottom w:val="single" w:sz="24" w:space="0" w:color="5ABAC4" w:themeColor="accent1"/>
        <w:right w:val="single" w:sz="24" w:space="0" w:color="5ABAC4" w:themeColor="accent1"/>
      </w:pBdr>
      <w:shd w:val="clear" w:color="auto" w:fill="5ABAC4" w:themeFill="accent1"/>
      <w:spacing w:after="0"/>
      <w:outlineLvl w:val="0"/>
    </w:pPr>
    <w:rPr>
      <w:caps/>
      <w:color w:val="8D1C6B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43AF"/>
    <w:pPr>
      <w:pBdr>
        <w:top w:val="single" w:sz="24" w:space="0" w:color="DDF1F3" w:themeColor="accent1" w:themeTint="33"/>
        <w:left w:val="single" w:sz="24" w:space="0" w:color="DDF1F3" w:themeColor="accent1" w:themeTint="33"/>
        <w:bottom w:val="single" w:sz="24" w:space="0" w:color="DDF1F3" w:themeColor="accent1" w:themeTint="33"/>
        <w:right w:val="single" w:sz="24" w:space="0" w:color="DDF1F3" w:themeColor="accent1" w:themeTint="33"/>
      </w:pBdr>
      <w:shd w:val="clear" w:color="auto" w:fill="DDF1F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43AF"/>
    <w:pPr>
      <w:pBdr>
        <w:top w:val="single" w:sz="6" w:space="2" w:color="5ABAC4" w:themeColor="accent1"/>
      </w:pBdr>
      <w:spacing w:before="300" w:after="0"/>
      <w:outlineLvl w:val="2"/>
    </w:pPr>
    <w:rPr>
      <w:caps/>
      <w:color w:val="256268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43AF"/>
    <w:pPr>
      <w:pBdr>
        <w:top w:val="dotted" w:sz="6" w:space="2" w:color="5ABAC4" w:themeColor="accent1"/>
      </w:pBdr>
      <w:spacing w:before="200" w:after="0"/>
      <w:outlineLvl w:val="3"/>
    </w:pPr>
    <w:rPr>
      <w:caps/>
      <w:color w:val="38939D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43AF"/>
    <w:pPr>
      <w:pBdr>
        <w:bottom w:val="single" w:sz="6" w:space="1" w:color="5ABAC4" w:themeColor="accent1"/>
      </w:pBdr>
      <w:spacing w:before="200" w:after="0"/>
      <w:outlineLvl w:val="4"/>
    </w:pPr>
    <w:rPr>
      <w:caps/>
      <w:color w:val="38939D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43AF"/>
    <w:pPr>
      <w:pBdr>
        <w:bottom w:val="dotted" w:sz="6" w:space="1" w:color="5ABAC4" w:themeColor="accent1"/>
      </w:pBdr>
      <w:spacing w:before="200" w:after="0"/>
      <w:outlineLvl w:val="5"/>
    </w:pPr>
    <w:rPr>
      <w:caps/>
      <w:color w:val="38939D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43AF"/>
    <w:pPr>
      <w:spacing w:before="200" w:after="0"/>
      <w:outlineLvl w:val="6"/>
    </w:pPr>
    <w:rPr>
      <w:caps/>
      <w:color w:val="38939D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43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43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5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6743AF"/>
    <w:pPr>
      <w:spacing w:before="0" w:after="0"/>
    </w:pPr>
    <w:rPr>
      <w:rFonts w:asciiTheme="majorHAnsi" w:eastAsiaTheme="majorEastAsia" w:hAnsiTheme="majorHAnsi" w:cstheme="majorBidi"/>
      <w:caps/>
      <w:color w:val="5ABAC4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43AF"/>
    <w:rPr>
      <w:rFonts w:asciiTheme="majorHAnsi" w:eastAsiaTheme="majorEastAsia" w:hAnsiTheme="majorHAnsi" w:cstheme="majorBidi"/>
      <w:caps/>
      <w:color w:val="5ABAC4" w:themeColor="accent1"/>
      <w:spacing w:val="10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6743AF"/>
    <w:rPr>
      <w:caps/>
      <w:spacing w:val="15"/>
      <w:shd w:val="clear" w:color="auto" w:fill="DDF1F3" w:themeFill="accent1" w:themeFillTint="33"/>
    </w:rPr>
  </w:style>
  <w:style w:type="character" w:customStyle="1" w:styleId="Cmsor1Char">
    <w:name w:val="Címsor 1 Char"/>
    <w:basedOn w:val="Bekezdsalapbettpusa"/>
    <w:link w:val="Cmsor1"/>
    <w:uiPriority w:val="9"/>
    <w:rsid w:val="006743AF"/>
    <w:rPr>
      <w:caps/>
      <w:color w:val="8D1C6B" w:themeColor="background1"/>
      <w:spacing w:val="15"/>
      <w:sz w:val="22"/>
      <w:szCs w:val="22"/>
      <w:shd w:val="clear" w:color="auto" w:fill="5ABAC4" w:themeFill="accent1"/>
    </w:rPr>
  </w:style>
  <w:style w:type="paragraph" w:customStyle="1" w:styleId="Bekezdsek">
    <w:name w:val="Bekezdések"/>
    <w:basedOn w:val="Norml"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rsid w:val="005A0528"/>
    <w:pPr>
      <w:spacing w:before="240" w:after="240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743AF"/>
    <w:pPr>
      <w:spacing w:before="0" w:after="500" w:line="240" w:lineRule="auto"/>
    </w:pPr>
    <w:rPr>
      <w:caps/>
      <w:color w:val="93D1D8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6743AF"/>
    <w:rPr>
      <w:caps/>
      <w:color w:val="93D1D8" w:themeColor="text1" w:themeTint="A6"/>
      <w:spacing w:val="10"/>
      <w:sz w:val="21"/>
      <w:szCs w:val="21"/>
    </w:rPr>
  </w:style>
  <w:style w:type="paragraph" w:customStyle="1" w:styleId="Alcm1">
    <w:name w:val="Alcím1"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6743AF"/>
    <w:pPr>
      <w:spacing w:after="0" w:line="240" w:lineRule="auto"/>
    </w:pPr>
  </w:style>
  <w:style w:type="character" w:styleId="Finomkiemels">
    <w:name w:val="Subtle Emphasis"/>
    <w:uiPriority w:val="19"/>
    <w:qFormat/>
    <w:rsid w:val="006743AF"/>
    <w:rPr>
      <w:i/>
      <w:iCs/>
      <w:color w:val="256268" w:themeColor="accent1" w:themeShade="7F"/>
    </w:rPr>
  </w:style>
  <w:style w:type="character" w:styleId="Kiemels">
    <w:name w:val="Emphasis"/>
    <w:uiPriority w:val="20"/>
    <w:qFormat/>
    <w:rsid w:val="006743AF"/>
    <w:rPr>
      <w:caps/>
      <w:color w:val="256268" w:themeColor="accent1" w:themeShade="7F"/>
      <w:spacing w:val="5"/>
    </w:rPr>
  </w:style>
  <w:style w:type="character" w:styleId="Erskiemels">
    <w:name w:val="Intense Emphasis"/>
    <w:uiPriority w:val="21"/>
    <w:qFormat/>
    <w:rsid w:val="006743AF"/>
    <w:rPr>
      <w:b/>
      <w:bCs/>
      <w:caps/>
      <w:color w:val="256268" w:themeColor="accent1" w:themeShade="7F"/>
      <w:spacing w:val="10"/>
    </w:rPr>
  </w:style>
  <w:style w:type="character" w:styleId="Kiemels2">
    <w:name w:val="Strong"/>
    <w:uiPriority w:val="22"/>
    <w:qFormat/>
    <w:rsid w:val="006743AF"/>
    <w:rPr>
      <w:b/>
      <w:bCs/>
    </w:rPr>
  </w:style>
  <w:style w:type="paragraph" w:customStyle="1" w:styleId="Felsorols2">
    <w:name w:val="Felsorolás2"/>
    <w:basedOn w:val="Bekezdsek"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rsid w:val="00754B42"/>
    <w:pPr>
      <w:spacing w:before="0" w:after="0"/>
      <w:jc w:val="right"/>
    </w:pPr>
    <w:rPr>
      <w:rFonts w:cstheme="minorHAnsi"/>
      <w:bCs/>
      <w:color w:val="8D1C6B"/>
      <w:sz w:val="24"/>
      <w:szCs w:val="24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43AF"/>
    <w:pPr>
      <w:spacing w:before="240" w:after="240" w:line="240" w:lineRule="auto"/>
      <w:ind w:left="1080" w:right="1080"/>
      <w:jc w:val="center"/>
    </w:pPr>
    <w:rPr>
      <w:color w:val="5ABAC4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43AF"/>
    <w:rPr>
      <w:color w:val="5ABAC4" w:themeColor="accent1"/>
      <w:sz w:val="24"/>
      <w:szCs w:val="24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840134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754B42"/>
    <w:rPr>
      <w:rFonts w:cstheme="minorHAnsi"/>
      <w:bCs/>
      <w:color w:val="8D1C6B"/>
      <w:sz w:val="24"/>
      <w:szCs w:val="24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uiPriority w:val="29"/>
    <w:qFormat/>
    <w:rsid w:val="006743AF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6743AF"/>
    <w:rPr>
      <w:i/>
      <w:iCs/>
      <w:sz w:val="24"/>
      <w:szCs w:val="24"/>
    </w:rPr>
  </w:style>
  <w:style w:type="character" w:styleId="Finomhivatkozs">
    <w:name w:val="Subtle Reference"/>
    <w:uiPriority w:val="31"/>
    <w:qFormat/>
    <w:rsid w:val="006743AF"/>
    <w:rPr>
      <w:b/>
      <w:bCs/>
      <w:color w:val="5ABAC4" w:themeColor="accent1"/>
    </w:rPr>
  </w:style>
  <w:style w:type="character" w:styleId="Ershivatkozs">
    <w:name w:val="Intense Reference"/>
    <w:uiPriority w:val="32"/>
    <w:qFormat/>
    <w:rsid w:val="006743AF"/>
    <w:rPr>
      <w:b/>
      <w:bCs/>
      <w:i/>
      <w:iCs/>
      <w:caps/>
      <w:color w:val="5ABAC4" w:themeColor="accent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743AF"/>
    <w:rPr>
      <w:caps/>
      <w:color w:val="256268" w:themeColor="accent1" w:themeShade="7F"/>
      <w:spacing w:val="15"/>
    </w:rPr>
  </w:style>
  <w:style w:type="character" w:styleId="Hiperhivatkozs">
    <w:name w:val="Hyperlink"/>
    <w:basedOn w:val="Bekezdsalapbettpusa"/>
    <w:uiPriority w:val="99"/>
    <w:unhideWhenUsed/>
    <w:rsid w:val="002C721B"/>
    <w:rPr>
      <w:color w:val="5ABAC4" w:themeColor="hyperlink"/>
      <w:u w:val="single"/>
    </w:rPr>
  </w:style>
  <w:style w:type="paragraph" w:styleId="Listaszerbekezds">
    <w:name w:val="List Paragraph"/>
    <w:aliases w:val="lista_2,Welt L"/>
    <w:basedOn w:val="Norml"/>
    <w:link w:val="ListaszerbekezdsChar"/>
    <w:uiPriority w:val="34"/>
    <w:qFormat/>
    <w:rsid w:val="002C721B"/>
    <w:pPr>
      <w:ind w:left="720"/>
      <w:contextualSpacing/>
    </w:pPr>
  </w:style>
  <w:style w:type="character" w:customStyle="1" w:styleId="ListaszerbekezdsChar">
    <w:name w:val="Listaszerű bekezdés Char"/>
    <w:aliases w:val="lista_2 Char,Welt L Char"/>
    <w:basedOn w:val="Bekezdsalapbettpusa"/>
    <w:link w:val="Listaszerbekezds"/>
    <w:uiPriority w:val="34"/>
    <w:locked/>
    <w:rsid w:val="002C721B"/>
  </w:style>
  <w:style w:type="character" w:customStyle="1" w:styleId="Cmsor4Char">
    <w:name w:val="Címsor 4 Char"/>
    <w:basedOn w:val="Bekezdsalapbettpusa"/>
    <w:link w:val="Cmsor4"/>
    <w:uiPriority w:val="9"/>
    <w:semiHidden/>
    <w:rsid w:val="006743AF"/>
    <w:rPr>
      <w:caps/>
      <w:color w:val="38939D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43AF"/>
    <w:rPr>
      <w:caps/>
      <w:color w:val="38939D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43AF"/>
    <w:rPr>
      <w:caps/>
      <w:color w:val="38939D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43AF"/>
    <w:rPr>
      <w:caps/>
      <w:color w:val="38939D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43AF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43AF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743AF"/>
    <w:rPr>
      <w:b/>
      <w:bCs/>
      <w:color w:val="38939D" w:themeColor="accent1" w:themeShade="BF"/>
      <w:sz w:val="16"/>
      <w:szCs w:val="16"/>
    </w:rPr>
  </w:style>
  <w:style w:type="character" w:styleId="Knyvcme">
    <w:name w:val="Book Title"/>
    <w:uiPriority w:val="33"/>
    <w:qFormat/>
    <w:rsid w:val="006743AF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43AF"/>
    <w:pPr>
      <w:outlineLvl w:val="9"/>
    </w:pPr>
  </w:style>
  <w:style w:type="character" w:styleId="Mrltotthiperhivatkozs">
    <w:name w:val="FollowedHyperlink"/>
    <w:basedOn w:val="Bekezdsalapbettpusa"/>
    <w:uiPriority w:val="99"/>
    <w:semiHidden/>
    <w:unhideWhenUsed/>
    <w:rsid w:val="00310C45"/>
    <w:rPr>
      <w:color w:val="203667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6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66A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7B60D7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bhbank.h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ugyfelszolgalat@mbhbank.h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bhbank.hu/adatvedele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ugyfelszolgalat@naih.h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atvedelem@mbhbank.hu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pliance%20&#233;s%20Bankbiztons&#225;g\Compliance%20Igazgat&#243;s&#225;g\Adatv&#233;delem\Feladatok\2023\101-150_2023\146_2023%20GK\Spec%20t&#225;j&#233;koztat&#243;.dotx" TargetMode="External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E5077B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01C113395C1724D9EA2C5E23D1C8CA0" ma:contentTypeVersion="8" ma:contentTypeDescription="Új dokumentum létrehozása." ma:contentTypeScope="" ma:versionID="c3843270faa4b3af9252d05f43613109">
  <xsd:schema xmlns:xsd="http://www.w3.org/2001/XMLSchema" xmlns:xs="http://www.w3.org/2001/XMLSchema" xmlns:p="http://schemas.microsoft.com/office/2006/metadata/properties" xmlns:ns2="6e25f3a4-06d3-4985-ad90-b11166caabc0" xmlns:ns3="ce95971b-573e-4a9c-9155-1939fc9226b4" targetNamespace="http://schemas.microsoft.com/office/2006/metadata/properties" ma:root="true" ma:fieldsID="9fa7bcd358db6c570ea8788911530471" ns2:_="" ns3:_="">
    <xsd:import namespace="6e25f3a4-06d3-4985-ad90-b11166caabc0"/>
    <xsd:import namespace="ce95971b-573e-4a9c-9155-1939fc922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f3a4-06d3-4985-ad90-b11166caa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5ecacdaf-1b94-43e1-b748-58fdabb79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5971b-573e-4a9c-9155-1939fc9226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6e4d0f-8b0a-4494-be06-1f09aa04f5fe}" ma:internalName="TaxCatchAll" ma:showField="CatchAllData" ma:web="ce95971b-573e-4a9c-9155-1939fc922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5f3a4-06d3-4985-ad90-b11166caabc0">
      <Terms xmlns="http://schemas.microsoft.com/office/infopath/2007/PartnerControls"/>
    </lcf76f155ced4ddcb4097134ff3c332f>
    <TaxCatchAll xmlns="ce95971b-573e-4a9c-9155-1939fc9226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F5C4D-C4B7-4379-80C9-8F3BDA515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5f3a4-06d3-4985-ad90-b11166caabc0"/>
    <ds:schemaRef ds:uri="ce95971b-573e-4a9c-9155-1939fc92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CD4D7-1C1E-4577-82D4-A34FCCC2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5ADCC-4297-4C63-975D-621881095A7D}">
  <ds:schemaRefs>
    <ds:schemaRef ds:uri="6e25f3a4-06d3-4985-ad90-b11166caabc0"/>
    <ds:schemaRef ds:uri="ce95971b-573e-4a9c-9155-1939fc9226b4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E12B65-D112-408B-8972-FFDD5D7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tájékoztató.dotx</Template>
  <TotalTime>471</TotalTime>
  <Pages>9</Pages>
  <Words>2329</Words>
  <Characters>16073</Characters>
  <Application>Microsoft Office Word</Application>
  <DocSecurity>0</DocSecurity>
  <Lines>133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Veréb-Gáspár Katalin</dc:creator>
  <cp:keywords/>
  <dc:description/>
  <cp:lastModifiedBy>Virág Ágnes Ida</cp:lastModifiedBy>
  <cp:revision>38</cp:revision>
  <dcterms:created xsi:type="dcterms:W3CDTF">2023-02-20T09:55:00Z</dcterms:created>
  <dcterms:modified xsi:type="dcterms:W3CDTF">2023-10-04T09:26:00Z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0x010100501C113395C1724D9EA2C5E23D1C8CA0</vt:lpwstr>
  </property>
</Properties>
</file>